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0F3BB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6842053" w:edGrp="everyone"/>
            <w:r w:rsidRP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6842053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92001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Mecanica/ DCLS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2920013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0F3BB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5985028" w:edGrp="everyone"/>
            <w:proofErr w:type="spellStart"/>
            <w:r w:rsidRPr="000F3BB9">
              <w:rPr>
                <w:rFonts w:ascii="Arial" w:hAnsi="Arial" w:cs="Arial"/>
                <w:bCs/>
                <w:sz w:val="18"/>
                <w:szCs w:val="18"/>
              </w:rPr>
              <w:t>Inginerie</w:t>
            </w:r>
            <w:proofErr w:type="spellEnd"/>
            <w:r w:rsidRPr="000F3B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F3BB9">
              <w:rPr>
                <w:rFonts w:ascii="Arial" w:hAnsi="Arial" w:cs="Arial"/>
                <w:bCs/>
                <w:sz w:val="18"/>
                <w:szCs w:val="18"/>
              </w:rPr>
              <w:t>Mecanica</w:t>
            </w:r>
            <w:proofErr w:type="spellEnd"/>
            <w:r w:rsidR="00E1734E">
              <w:rPr>
                <w:rFonts w:ascii="Arial" w:hAnsi="Arial" w:cs="Arial"/>
                <w:bCs/>
                <w:sz w:val="18"/>
                <w:szCs w:val="18"/>
              </w:rPr>
              <w:t>/180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95985028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57321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9573215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84851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0F3BB9" w:rsidRPr="000F3BB9">
              <w:rPr>
                <w:rFonts w:ascii="Arial" w:hAnsi="Arial" w:cs="Arial"/>
                <w:bCs/>
                <w:sz w:val="18"/>
                <w:szCs w:val="18"/>
              </w:rPr>
              <w:t>Inginerie</w:t>
            </w:r>
            <w:proofErr w:type="spellEnd"/>
            <w:r w:rsidR="000F3BB9" w:rsidRPr="000F3B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F3BB9" w:rsidRPr="000F3BB9">
              <w:rPr>
                <w:rFonts w:ascii="Arial" w:hAnsi="Arial" w:cs="Arial"/>
                <w:bCs/>
                <w:sz w:val="18"/>
                <w:szCs w:val="18"/>
              </w:rPr>
              <w:t>Mecanica</w:t>
            </w:r>
            <w:proofErr w:type="spellEnd"/>
            <w:r w:rsidR="00E1734E">
              <w:rPr>
                <w:rFonts w:ascii="Arial" w:hAnsi="Arial" w:cs="Arial"/>
                <w:bCs/>
                <w:sz w:val="18"/>
                <w:szCs w:val="18"/>
              </w:rPr>
              <w:t xml:space="preserve">/50/ </w:t>
            </w:r>
            <w:proofErr w:type="spellStart"/>
            <w:r w:rsidR="00E1734E">
              <w:rPr>
                <w:rFonts w:ascii="Arial" w:hAnsi="Arial" w:cs="Arial"/>
                <w:bCs/>
                <w:sz w:val="18"/>
                <w:szCs w:val="18"/>
              </w:rPr>
              <w:t>Inginer</w:t>
            </w:r>
            <w:proofErr w:type="spellEnd"/>
            <w:r w:rsidR="00E173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1734E">
              <w:rPr>
                <w:rFonts w:ascii="Arial" w:hAnsi="Arial" w:cs="Arial"/>
                <w:bCs/>
                <w:sz w:val="18"/>
                <w:szCs w:val="18"/>
              </w:rPr>
              <w:t>mecanic</w:t>
            </w:r>
            <w:proofErr w:type="spellEnd"/>
            <w:r w:rsidR="000F3BB9" w:rsidRP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48485130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0F3BB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2396932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Cultur</w:t>
            </w:r>
            <w:r>
              <w:rPr>
                <w:rFonts w:cs="Gautami"/>
                <w:bCs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cs="Gautami"/>
                <w:bCs/>
                <w:sz w:val="18"/>
                <w:szCs w:val="18"/>
                <w:lang w:val="ro-RO"/>
              </w:rPr>
              <w:t>ș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civiliza</w:t>
            </w:r>
            <w:r>
              <w:rPr>
                <w:rFonts w:cs="Gautami"/>
                <w:bCs/>
                <w:sz w:val="18"/>
                <w:szCs w:val="18"/>
                <w:lang w:val="ro-RO"/>
              </w:rPr>
              <w:t>ț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2396932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43851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Lect. dr. Cosmin Băiaș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24385142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01173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 w:rsidRP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Lect. dr. Cosmin Băiaș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70117360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0F3BB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0167517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675174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0F3BB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722169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7221691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49557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4955767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05394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DC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0539440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22052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220524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54849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35484992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255809471" w:edGrp="everyone"/>
            <w:permEnd w:id="125580947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3581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/0/0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3581676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96028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960285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93717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29371734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12331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/0/0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51233182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83795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837954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0642335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00642335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41911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24191158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84411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1844115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7971349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27971349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4019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401953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40668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1,43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3406688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9720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797202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31585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0,43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6315854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42872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4287295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11274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20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3112745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87631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4876316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15273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8152732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E1734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90034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900343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334674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,43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2334674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18154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48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181547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608175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06081756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47715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 w:rsidRPr="000F3BB9">
              <w:rPr>
                <w:rFonts w:ascii="Arial" w:hAnsi="Arial" w:cs="Arial"/>
                <w:bCs/>
                <w:sz w:val="18"/>
                <w:szCs w:val="18"/>
                <w:lang w:val="it-IT"/>
              </w:rPr>
              <w:t>Logică, Istorie, Economie promovate la nivelul studiilor liceale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34771587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79958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7995873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0F3BB9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9755244" w:edGrp="everyone"/>
            <w:proofErr w:type="spellStart"/>
            <w:r w:rsidRPr="000F3BB9">
              <w:rPr>
                <w:rFonts w:ascii="Arial" w:hAnsi="Arial" w:cs="Arial"/>
                <w:bCs/>
                <w:sz w:val="18"/>
                <w:szCs w:val="18"/>
              </w:rPr>
              <w:t>Sală</w:t>
            </w:r>
            <w:proofErr w:type="spellEnd"/>
            <w:r w:rsidRPr="000F3BB9">
              <w:rPr>
                <w:rFonts w:ascii="Arial" w:hAnsi="Arial" w:cs="Arial"/>
                <w:bCs/>
                <w:sz w:val="18"/>
                <w:szCs w:val="18"/>
              </w:rPr>
              <w:t xml:space="preserve"> mare; </w:t>
            </w:r>
            <w:proofErr w:type="spellStart"/>
            <w:r w:rsidRPr="000F3BB9">
              <w:rPr>
                <w:rFonts w:ascii="Arial" w:hAnsi="Arial" w:cs="Arial"/>
                <w:bCs/>
                <w:sz w:val="18"/>
                <w:szCs w:val="18"/>
              </w:rPr>
              <w:t>materiale</w:t>
            </w:r>
            <w:proofErr w:type="spellEnd"/>
            <w:r w:rsidRPr="000F3B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F3BB9">
              <w:rPr>
                <w:rFonts w:ascii="Arial" w:hAnsi="Arial" w:cs="Arial"/>
                <w:bCs/>
                <w:sz w:val="18"/>
                <w:szCs w:val="18"/>
              </w:rPr>
              <w:t>suport</w:t>
            </w:r>
            <w:proofErr w:type="spellEnd"/>
            <w:r w:rsidRPr="000F3BB9">
              <w:rPr>
                <w:rFonts w:ascii="Arial" w:hAnsi="Arial" w:cs="Arial"/>
                <w:bCs/>
                <w:sz w:val="18"/>
                <w:szCs w:val="18"/>
              </w:rPr>
              <w:t xml:space="preserve">: laptop, </w:t>
            </w:r>
            <w:proofErr w:type="spellStart"/>
            <w:r w:rsidRPr="000F3BB9">
              <w:rPr>
                <w:rFonts w:ascii="Arial" w:hAnsi="Arial" w:cs="Arial"/>
                <w:bCs/>
                <w:sz w:val="18"/>
                <w:szCs w:val="18"/>
              </w:rPr>
              <w:t>videoproiector</w:t>
            </w:r>
            <w:proofErr w:type="spellEnd"/>
            <w:r w:rsidRPr="000F3BB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F3BB9">
              <w:rPr>
                <w:rFonts w:ascii="Arial" w:hAnsi="Arial" w:cs="Arial"/>
                <w:bCs/>
                <w:sz w:val="18"/>
                <w:szCs w:val="18"/>
              </w:rPr>
              <w:t>tablă</w:t>
            </w:r>
            <w:proofErr w:type="spellEnd"/>
            <w:r w:rsidRP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9755244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57589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3BB9" w:rsidRP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Sală de seminar cu videoproiector, laptop și tablă  </w:t>
            </w:r>
            <w:permEnd w:id="985758919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AF70D6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84727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Înțelegerea transformărilor tehnologice prin care trece omenirea din secolul al XIX-lea în prezent;</w:t>
            </w:r>
          </w:p>
          <w:p w:rsidR="005D1549" w:rsidRPr="0040372D" w:rsidRDefault="00AF70D6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Înțelegerea fenomenului cultural într-o lume a globalizării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8472788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AF70D6" w:rsidP="00E1734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80407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1734E" w:rsidRP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C1 Identificarea, definirea, utilizarea </w:t>
            </w:r>
            <w:proofErr w:type="spellStart"/>
            <w:r w:rsidR="00E1734E" w:rsidRP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E1734E" w:rsidRP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="00E1734E" w:rsidRP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="00E1734E" w:rsidRPr="00E173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specifice domeniului ingineriei.</w:t>
            </w:r>
            <w:permEnd w:id="1868040798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E1734E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661947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bookmarkStart w:id="0" w:name="_GoBack"/>
            <w:bookmarkEnd w:id="0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6619470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0F3BB9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9814904" w:edGrp="everyone"/>
            <w:r w:rsidRP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Disciplina urmăreşte familiarizarea studenţilor cu principalele concepte, idei şi teorii cu privire la raportul dintre cultură şi civilizaţie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99814904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0F3BB9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9994588" w:edGrp="everyone"/>
            <w:r w:rsidRPr="000F3BB9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Cursul are drept scop familiarizarea studentilor cu fenomenul culturii şi civilizaţiei contemporane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9994588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52249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="00AF70D6" w:rsidRP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Teorii cu privire la raportul dintre cultură şi civilizaţie </w:t>
            </w:r>
            <w:permEnd w:id="195522490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64962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36496212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31254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prelegere, conversaţie, explicaţie, exemplificare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33125439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10097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AF70D6" w:rsidRP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Componentele culturii.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100975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45115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5451152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59043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</w:t>
            </w:r>
            <w:r w:rsidR="00AF70D6" w:rsidRP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Cultură şi comunicare. Caracteristici ale culturii.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359043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51787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517874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38678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</w:t>
            </w:r>
            <w:r w:rsidR="00AF70D6" w:rsidRP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>Culturi în contact. Dialogul între culturi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8386781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32768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327686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69092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5. </w:t>
            </w:r>
            <w:r w:rsidR="00AF70D6" w:rsidRP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Stereotipuri. Prejudecăți. Discriminare.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690924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17107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171076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95343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6. </w:t>
            </w:r>
            <w:r w:rsidR="00AF70D6" w:rsidRP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>Caracteristici culturale. Comunicarea interculturală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8953434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70534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705343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40897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7. </w:t>
            </w:r>
            <w:r w:rsidR="00AF70D6" w:rsidRPr="00AF70D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Globalizare şi cultură  </w:t>
            </w:r>
            <w:permEnd w:id="68408979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17638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176389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66273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1662739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21949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21949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27339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27339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4257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425756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00495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004951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09682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4096826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42806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 </w:t>
            </w:r>
            <w:permEnd w:id="7142806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71774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717741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66848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668489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99407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994071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09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0900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64199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641994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09087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090878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65249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2652494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213812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658796898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3B2E56" w:rsidRDefault="003B2E56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Cosmin </w:t>
            </w:r>
            <w:r w:rsidRPr="003B2E56">
              <w:rPr>
                <w:rFonts w:ascii="Arial" w:hAnsi="Arial" w:cs="Arial"/>
                <w:bCs/>
                <w:sz w:val="18"/>
                <w:szCs w:val="18"/>
                <w:lang w:val="ro-RO"/>
              </w:rPr>
              <w:t>Băiaș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3B2E5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(coord.), </w:t>
            </w:r>
            <w:r w:rsidRPr="003B2E56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Comunicări retorice: figuri critice</w:t>
            </w:r>
            <w:r w:rsidRPr="003B2E56">
              <w:rPr>
                <w:rFonts w:ascii="Arial" w:hAnsi="Arial" w:cs="Arial"/>
                <w:bCs/>
                <w:sz w:val="18"/>
                <w:szCs w:val="18"/>
                <w:lang w:val="ro-RO"/>
              </w:rPr>
              <w:t>, Timișoara, Editura Eurobit, 2016.</w:t>
            </w:r>
          </w:p>
          <w:p w:rsidR="00213812" w:rsidRPr="00213812" w:rsidRDefault="00213812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Zygmunt Bauman, </w:t>
            </w:r>
            <w:r w:rsidRPr="00213812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Globalizarea şi efectele ei sociale</w:t>
            </w: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, Antet, Bucureşti, 2002</w:t>
            </w:r>
          </w:p>
          <w:p w:rsidR="00213812" w:rsidRPr="00213812" w:rsidRDefault="00213812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Fernand Braudel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Gramatica civilizaţiilor, vol. I şi II, Bucureşti, Editura Meridiane, 1994 </w:t>
            </w:r>
          </w:p>
          <w:p w:rsidR="00213812" w:rsidRPr="00213812" w:rsidRDefault="00213812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John Tomlinson, </w:t>
            </w:r>
            <w:r w:rsidRPr="00213812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Globalizare şi cultură</w:t>
            </w: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, Amarcord, 2002</w:t>
            </w:r>
          </w:p>
          <w:p w:rsidR="00213812" w:rsidRPr="00213812" w:rsidRDefault="00213812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Samuel P. Huntington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Ciocnirea civilizaţiilor şi refacerea ordinii mondiale, Bucureşti, Editura Antet, 1998 </w:t>
            </w:r>
          </w:p>
          <w:p w:rsidR="00213812" w:rsidRPr="00213812" w:rsidRDefault="00213812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Douglas Kellner, </w:t>
            </w:r>
            <w:r w:rsidRPr="00213812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Cultura media</w:t>
            </w: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Iaşi, Institutul European, 2003 </w:t>
            </w:r>
          </w:p>
          <w:p w:rsidR="00213812" w:rsidRPr="00213812" w:rsidRDefault="00213812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Mircea Maliţa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Zece mii de culturi, o singură civilizaţie, Bucureşti, Editura Nemira, 1998</w:t>
            </w:r>
          </w:p>
          <w:p w:rsidR="00213812" w:rsidRPr="00213812" w:rsidRDefault="00213812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Adrian Rachieru, </w:t>
            </w:r>
            <w:r w:rsidRPr="00213812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Globalizarea şi cultura media</w:t>
            </w: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, Iaşi, Institutul European, 2003</w:t>
            </w:r>
          </w:p>
          <w:p w:rsidR="009A4B9A" w:rsidRPr="0040372D" w:rsidRDefault="0021381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George Ritzer, </w:t>
            </w:r>
            <w:r w:rsidRPr="00213812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Globalizarea nimicului</w:t>
            </w: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, Bucureşti, Humanitas, 2010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8796898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213812" w:rsidRPr="00213812" w:rsidRDefault="00875BC6" w:rsidP="00213812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05529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="00213812"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Elemente de cultură și civilizație (Austria,  Belgia, Bulgaria, Cehia)</w:t>
            </w:r>
          </w:p>
          <w:permEnd w:id="440552903"/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758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0758634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35360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213812"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expunere, prelegere, conversaţie, exerciţiu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13536080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09365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213812"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Elemente de cultură și civilizație (Cipru, Danemarca, Estonia, Finlanda)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2093655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66721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5667215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07655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</w:t>
            </w:r>
            <w:r w:rsidR="00213812"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Elemente de cultură și civilizație (Franţa, Germania, Grecia, Irlanda)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07655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57505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575051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1381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41713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</w:t>
            </w:r>
            <w:r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Elemente de cultură și civilizație (Italia, Letonia, Lituania, Luxemburg)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417138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77566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77566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10731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5. </w:t>
            </w:r>
            <w:r w:rsidR="00213812"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Elemente de cultură și civilizație (Malta, Marea Britanie, Olanda, Polonia)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3107319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30184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1301842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98697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986976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36089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6. </w:t>
            </w:r>
            <w:r w:rsidR="00213812"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Elemente de cultură și civilizație (Portugalia, România, Slovacia, Slovenia)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360891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02250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9022509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21330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6213300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52514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7. </w:t>
            </w:r>
            <w:r w:rsidR="00213812"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Elemente de cultură și civilizație (Spania, Suedia, Ungaria, Croația)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525142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72195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1721953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08747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0874744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3474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347457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06361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063616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70131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701319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61157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6115792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2004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20042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34846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3484631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213812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823005539" w:edGrp="everyone"/>
          </w:p>
          <w:p w:rsidR="00213812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531DB0" w:rsidRDefault="00531DB0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Arp, Robert (editor), </w:t>
            </w:r>
            <w:r w:rsidRPr="00531DB0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1001 de citate care te inspiră într-o viață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Rao, București, 2018.</w:t>
            </w:r>
          </w:p>
          <w:p w:rsidR="003B2E56" w:rsidRDefault="003B2E56" w:rsidP="0021381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Cosmin </w:t>
            </w:r>
            <w:r w:rsidRPr="003B2E56">
              <w:rPr>
                <w:rFonts w:ascii="Arial" w:hAnsi="Arial" w:cs="Arial"/>
                <w:bCs/>
                <w:sz w:val="18"/>
                <w:szCs w:val="18"/>
                <w:lang w:val="ro-RO"/>
              </w:rPr>
              <w:t>Băiaș,</w:t>
            </w:r>
            <w:r w:rsidRPr="003B2E56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3B2E5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(coord.), </w:t>
            </w:r>
            <w:r w:rsidRPr="003B2E56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Comunicări retorice: figuri critice</w:t>
            </w:r>
            <w:r w:rsidRPr="003B2E56">
              <w:rPr>
                <w:rFonts w:ascii="Arial" w:hAnsi="Arial" w:cs="Arial"/>
                <w:bCs/>
                <w:sz w:val="18"/>
                <w:szCs w:val="18"/>
                <w:lang w:val="ro-RO"/>
              </w:rPr>
              <w:t>, Timișoara, Editura Eurobit, 2016.</w:t>
            </w:r>
          </w:p>
          <w:p w:rsidR="00531DB0" w:rsidRDefault="00531DB0" w:rsidP="00531DB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Gerald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Graff; Cathy, Birkenstein, </w:t>
            </w:r>
            <w:r w:rsidRPr="00531DB0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Manual pentru scrierea academică: Ei spun/Eu spun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Paralela 45, Pitești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2015.</w:t>
            </w:r>
          </w:p>
          <w:p w:rsidR="00531DB0" w:rsidRPr="00531DB0" w:rsidRDefault="00531DB0" w:rsidP="00531DB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Geert Hofstede; Jan Hofstede; Michael Minkov, </w:t>
            </w:r>
            <w:r w:rsidRPr="00531DB0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Culturi şi organizaţii. Softul mental: cooperarea interculturală şi importanţa ei pentru supravieţuire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Editura Humanitas, București, 2012. </w:t>
            </w:r>
          </w:p>
          <w:p w:rsidR="00531DB0" w:rsidRPr="00531DB0" w:rsidRDefault="00531DB0" w:rsidP="00531DB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Niall Ferguson, </w:t>
            </w:r>
            <w:r w:rsidRPr="00531DB0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Civilizația: Vestul și restul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Polirom, Iași, 2017.</w:t>
            </w:r>
          </w:p>
          <w:p w:rsidR="00531DB0" w:rsidRPr="00531DB0" w:rsidRDefault="00531DB0" w:rsidP="00531DB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Lorentz Konrad, </w:t>
            </w:r>
            <w:r w:rsidRPr="00531DB0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Cele opt păcate capitale ale omenirii civilizate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Humanitas, București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2017.</w:t>
            </w:r>
          </w:p>
          <w:p w:rsidR="00531DB0" w:rsidRPr="00531DB0" w:rsidRDefault="00531DB0" w:rsidP="00531DB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Mario Vargas Llosa, </w:t>
            </w:r>
            <w:r w:rsidRPr="00531DB0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Civilizația spectacolului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Humanitas, București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2017.</w:t>
            </w:r>
          </w:p>
          <w:p w:rsidR="00531DB0" w:rsidRPr="00531DB0" w:rsidRDefault="00531DB0" w:rsidP="00531DB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Roger, Scruton, </w:t>
            </w:r>
            <w:r w:rsidRPr="00531DB0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Cultura modernă pe înțelesul oamenilor inteligenți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bookmarkStart w:id="1" w:name="_Hlk506298651"/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Editura Humanitas, București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531DB0">
              <w:rPr>
                <w:rFonts w:ascii="Arial" w:hAnsi="Arial" w:cs="Arial"/>
                <w:bCs/>
                <w:sz w:val="18"/>
                <w:szCs w:val="18"/>
                <w:lang w:val="ro-RO"/>
              </w:rPr>
              <w:t>2017.</w:t>
            </w:r>
            <w:bookmarkEnd w:id="1"/>
          </w:p>
          <w:permEnd w:id="823005539"/>
          <w:p w:rsidR="00CA7AAF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213812" w:rsidRPr="00213812" w:rsidRDefault="00FD5BE8" w:rsidP="00CC26F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19944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3812" w:rsidRPr="00213812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Cunoștințele legate de cultura și civilizația altor țări, de comunicare interculturală, sunt importante pentru integrarea pe o piață a muncii specifică,  ele facilitează rezolvarea optimă, eficientă a problemelor pe care viitorul specialist trebuie să le rezolve</w:t>
            </w:r>
            <w:r w:rsidR="00CC26F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CC26FB" w:rsidRPr="00CC26FB" w:rsidRDefault="00CC26FB" w:rsidP="00CC26F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>Angajatorii din domeniul aferent solicită cunoașterea unor elemente cu specific în sfera culturii și civilizație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DE7F95" w:rsidRPr="0040372D" w:rsidRDefault="00CC26FB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Conţinutul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disciplinei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este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corelat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cu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alte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programe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similare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din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cadrul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altor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instituții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învățământ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superior din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tara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și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din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străinătate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11994451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219707996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Cunoaşterea</w:t>
            </w:r>
            <w:proofErr w:type="spellEnd"/>
            <w:r w:rsidR="00CC26FB" w:rsidRPr="00CC26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terminologiei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specifice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domeniului</w:t>
            </w:r>
            <w:proofErr w:type="spellEnd"/>
            <w:proofErr w:type="gramStart"/>
            <w:r w:rsidR="00CC26F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Corectitudinea</w:t>
            </w:r>
            <w:proofErr w:type="spellEnd"/>
            <w:proofErr w:type="gramEnd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completitudinea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cunoştinţelor</w:t>
            </w:r>
            <w:proofErr w:type="spellEnd"/>
            <w:r w:rsidR="00CC26F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1970799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6830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Proiect scris/ test grilă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8068307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39128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>50%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3912826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3334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Elaborarea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şi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susţinerea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publică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unei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lucrări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seminar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cu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caracter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>aplicativ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</w:t>
            </w:r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pe o temă specifică domeniului  </w:t>
            </w:r>
            <w:permEnd w:id="13334622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71575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 proiect/</w:t>
            </w:r>
            <w:r w:rsid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</w:t>
            </w:r>
            <w:r w:rsidR="00CC26FB" w:rsidRP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xpunere </w:t>
            </w:r>
            <w:permEnd w:id="153715751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43098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C26FB">
              <w:rPr>
                <w:rFonts w:ascii="Arial" w:hAnsi="Arial" w:cs="Arial"/>
                <w:bCs/>
                <w:sz w:val="18"/>
                <w:szCs w:val="18"/>
                <w:lang w:val="ro-RO"/>
              </w:rPr>
              <w:t>50%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3430985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4148627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14862761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06551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065510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32499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2324999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6100962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10096284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26435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264358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51342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5134290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3137564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31375648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6726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167269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28358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2835812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C26FB" w:rsidRPr="00CC26FB" w:rsidRDefault="00893CC2" w:rsidP="00CC26F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53821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Utilizarea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corectă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limbajului</w:t>
            </w:r>
            <w:proofErr w:type="spellEnd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="00CC26FB" w:rsidRPr="00CC26FB">
              <w:rPr>
                <w:rFonts w:ascii="Arial" w:hAnsi="Arial" w:cs="Arial"/>
                <w:bCs/>
                <w:sz w:val="18"/>
                <w:szCs w:val="18"/>
              </w:rPr>
              <w:t>specialitate</w:t>
            </w:r>
            <w:proofErr w:type="spellEnd"/>
            <w:r w:rsidR="00CC26FB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:rsidR="00CC26FB" w:rsidRPr="00CC26FB" w:rsidRDefault="00CC26FB" w:rsidP="00CC26F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Studenții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dovedesc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acumularea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informații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cultură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și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civilizație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și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pot opera cu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conceptele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și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teoriile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specifice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disciplinei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C26FB" w:rsidRPr="00CC26FB" w:rsidRDefault="00CC26FB" w:rsidP="00CC26F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Cunoaşterea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noţiunilor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teoretice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fundamentale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:rsidR="00C12BE1" w:rsidRPr="0040372D" w:rsidRDefault="00CC26FB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Realizarea</w:t>
            </w:r>
            <w:proofErr w:type="spellEnd"/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C26FB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prezentări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verbale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la</w:t>
            </w:r>
            <w:r w:rsidRPr="00CC26FB">
              <w:rPr>
                <w:rFonts w:ascii="Arial" w:hAnsi="Arial" w:cs="Arial"/>
                <w:bCs/>
                <w:sz w:val="18"/>
                <w:szCs w:val="18"/>
              </w:rPr>
              <w:t xml:space="preserve"> seminar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și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respectarea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cerințelor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formale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5382104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69952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446995289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61685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16168589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3D8" w:rsidRDefault="00E963D8">
      <w:r>
        <w:separator/>
      </w:r>
    </w:p>
  </w:endnote>
  <w:endnote w:type="continuationSeparator" w:id="0">
    <w:p w:rsidR="00E963D8" w:rsidRDefault="00E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3D8" w:rsidRDefault="00E963D8">
      <w:r>
        <w:separator/>
      </w:r>
    </w:p>
  </w:footnote>
  <w:footnote w:type="continuationSeparator" w:id="0">
    <w:p w:rsidR="00E963D8" w:rsidRDefault="00E963D8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D86A26"/>
    <w:multiLevelType w:val="hybridMultilevel"/>
    <w:tmpl w:val="FBA21508"/>
    <w:lvl w:ilvl="0" w:tplc="36C22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4A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27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E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A7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63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0A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0A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8D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1EA4"/>
    <w:multiLevelType w:val="hybridMultilevel"/>
    <w:tmpl w:val="6794324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4"/>
  </w:num>
  <w:num w:numId="5">
    <w:abstractNumId w:val="19"/>
  </w:num>
  <w:num w:numId="6">
    <w:abstractNumId w:val="0"/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7"/>
  </w:num>
  <w:num w:numId="17">
    <w:abstractNumId w:val="6"/>
  </w:num>
  <w:num w:numId="18">
    <w:abstractNumId w:val="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3BB9"/>
    <w:rsid w:val="000F4BB7"/>
    <w:rsid w:val="000F5C01"/>
    <w:rsid w:val="000F69CC"/>
    <w:rsid w:val="000F6FED"/>
    <w:rsid w:val="000F7AEE"/>
    <w:rsid w:val="000F7C4C"/>
    <w:rsid w:val="00100052"/>
    <w:rsid w:val="00101103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1E98"/>
    <w:rsid w:val="00212175"/>
    <w:rsid w:val="002121C7"/>
    <w:rsid w:val="00213812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2E5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1DB0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6FD0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53A4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0D6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6FB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6E83"/>
    <w:rsid w:val="00E17278"/>
    <w:rsid w:val="00E1734E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63D8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4AEE-545A-45DA-8A11-660B3CA8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1234</Words>
  <Characters>7039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3</cp:revision>
  <cp:lastPrinted>2016-11-02T09:24:00Z</cp:lastPrinted>
  <dcterms:created xsi:type="dcterms:W3CDTF">2019-04-01T07:36:00Z</dcterms:created>
  <dcterms:modified xsi:type="dcterms:W3CDTF">2019-04-01T07:40:00Z</dcterms:modified>
</cp:coreProperties>
</file>