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83466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9380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Universitatea Politehnica Timi</w:t>
            </w:r>
            <w:r w:rsidR="0039380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39380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6834662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36182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A2C2B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Mecanic</w:t>
            </w:r>
            <w:r w:rsidR="006A2C2B" w:rsidRPr="00273C75">
              <w:rPr>
                <w:rFonts w:cs="Gautami"/>
                <w:bCs/>
                <w:sz w:val="18"/>
                <w:szCs w:val="18"/>
                <w:lang w:val="ro-RO"/>
              </w:rPr>
              <w:t>ă</w:t>
            </w:r>
            <w:r w:rsidR="006A2C2B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/ Bazele Fizice ale Ingineriei     </w:t>
            </w:r>
            <w:r w:rsidR="006A2C2B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ermEnd w:id="114361825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54350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A2C2B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Inginerie mecanic</w:t>
            </w:r>
            <w:r w:rsidR="006A2C2B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6A2C2B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/180</w:t>
            </w:r>
            <w:r w:rsidR="006A2C2B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543501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49164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0325587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Licen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ţă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1032558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84188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9164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Inginerie mecanic</w:t>
            </w:r>
            <w:r w:rsidR="0049164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0B2A7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/50/Inginer Mecanic</w:t>
            </w:r>
            <w:r w:rsidR="00491647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49164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8418854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69226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054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Fundamente de Inginerie Electric</w:t>
            </w:r>
            <w:r w:rsidR="00FF054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FF054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FF054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FF054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Electronic</w:t>
            </w:r>
            <w:r w:rsidR="00FF054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 / DD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56922623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34149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193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S.l.dr.ing. Daniela VESA</w:t>
            </w:r>
            <w:r w:rsidR="0071760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S.L. dr. ing. Mircea TOMOROGA</w:t>
            </w:r>
            <w:r w:rsidR="0069193F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85341493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60837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193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S.l.dr.ing. Beatrice COSTACHE</w:t>
            </w:r>
            <w:r w:rsidR="0071760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S.L. dr. ing. Mircea TOMOROGA</w:t>
            </w:r>
            <w:r w:rsidR="0071760E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69193F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696083786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69193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87400514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4005141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69193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684624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3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16846241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63989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193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96398985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1345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193F"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7134519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25942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C6C28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4F0A0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9259420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7C6C2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659040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3 </w:t>
            </w:r>
            <w:permEnd w:id="1086590400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037408357" w:edGrp="everyone"/>
            <w:permEnd w:id="203740835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7C6C2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1262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B2A74"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0B2A74"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="004F0A0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126231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47632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C6C28">
              <w:rPr>
                <w:rFonts w:ascii="Arial" w:hAnsi="Arial" w:cs="Arial"/>
                <w:bCs/>
                <w:sz w:val="18"/>
                <w:szCs w:val="18"/>
                <w:lang w:val="ro-RO"/>
              </w:rPr>
              <w:t>70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2476325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7C6C2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87810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42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8781002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7C6C2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28286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B2A74"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0B2A74"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2828616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20745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C6C28">
              <w:rPr>
                <w:rFonts w:ascii="Arial" w:hAnsi="Arial" w:cs="Arial"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207451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7C6C2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610747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1.5</w:t>
            </w:r>
            <w:r w:rsidR="00CC2418"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6107472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6625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C6C28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662517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43568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C6C28">
              <w:rPr>
                <w:rFonts w:ascii="Arial" w:hAnsi="Arial" w:cs="Arial"/>
                <w:bCs/>
                <w:sz w:val="18"/>
                <w:szCs w:val="18"/>
                <w:lang w:val="ro-RO"/>
              </w:rPr>
              <w:t>35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4435686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7020805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C6C28"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47020805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54415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C6C28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35441503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43434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B4FC0">
              <w:rPr>
                <w:rFonts w:ascii="Arial" w:hAnsi="Arial" w:cs="Arial"/>
                <w:bCs/>
                <w:sz w:val="18"/>
                <w:szCs w:val="18"/>
                <w:lang w:val="ro-RO"/>
              </w:rPr>
              <w:t>4.07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7434344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2B4FC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295287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1.07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0295287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2B4FC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308695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1.5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6308695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2B4FC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76656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1.5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766560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2B4FC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815771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57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8157718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0B2A74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687596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687596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7962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2B0E"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79625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27274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2B0E"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272749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20941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0B2A74">
              <w:rPr>
                <w:rFonts w:ascii="Arial" w:hAnsi="Arial" w:cs="Arial"/>
                <w:bCs/>
                <w:sz w:val="18"/>
                <w:szCs w:val="18"/>
                <w:lang w:val="ro-RO"/>
              </w:rPr>
              <w:t>9.0</w:t>
            </w:r>
            <w:r w:rsidR="00B44F85"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6209415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33505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0B2A74">
              <w:rPr>
                <w:rFonts w:ascii="Arial" w:hAnsi="Arial" w:cs="Arial"/>
                <w:bCs/>
                <w:sz w:val="18"/>
                <w:szCs w:val="18"/>
                <w:lang w:val="ro-RO"/>
              </w:rPr>
              <w:t>127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7335050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890697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13C93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38906976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35400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13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Analiz</w:t>
            </w:r>
            <w:r w:rsidR="00713C9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713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matematic</w:t>
            </w:r>
            <w:r w:rsidR="00713C9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713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Algebr</w:t>
            </w:r>
            <w:r w:rsidR="00713C9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713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liniar</w:t>
            </w:r>
            <w:r w:rsidR="00713C9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713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713C93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713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Geometrie, Fizic</w:t>
            </w:r>
            <w:r w:rsidR="00713C9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3540099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DF2D78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51348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D07F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Calcul algebric, vectorial, integral </w:t>
            </w:r>
            <w:r w:rsidR="00BD07F6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BD07F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diferen</w:t>
            </w:r>
            <w:r w:rsidR="00BD07F6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BD07F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ial; </w:t>
            </w:r>
            <w:proofErr w:type="spellStart"/>
            <w:r w:rsidR="00BD07F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</w:t>
            </w:r>
            <w:r w:rsidR="00BD07F6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BD07F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iuni</w:t>
            </w:r>
            <w:proofErr w:type="spellEnd"/>
            <w:r w:rsidR="00BD07F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elementare de fizic</w:t>
            </w:r>
            <w:r w:rsidR="00BD07F6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</w:p>
          <w:p w:rsidR="00A30888" w:rsidRPr="0040372D" w:rsidRDefault="00DF2D7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Efectuarea de calcule,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demonstra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ţ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ş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aplica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ţ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pentru rezolvarea de sarcini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specifice ingineriei materialelor pe baza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cunostin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ţ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elor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din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stiin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ţ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fundamentale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05134824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89987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3064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Sal</w:t>
            </w:r>
            <w:r w:rsidR="00C3064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C3064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mare, tabl</w:t>
            </w:r>
            <w:r w:rsidR="00C3064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C3064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proiector, cret</w:t>
            </w:r>
            <w:r w:rsidR="00C3064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C30643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148998796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66739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3064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Laborator dotat cu dispozitive de experimnetare în Electrotehnic</w:t>
            </w:r>
            <w:r w:rsidR="00C3064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C3064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surse de energie electric</w:t>
            </w:r>
            <w:r w:rsidR="00C3064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C3064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aparate de m</w:t>
            </w:r>
            <w:r w:rsidR="00C3064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C3064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sur</w:t>
            </w:r>
            <w:r w:rsidR="00C3064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C3064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calculatoare cu soft adecvat, tabl</w:t>
            </w:r>
            <w:r w:rsidR="00C3064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6673909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AB15AF" w:rsidRDefault="00FD5BE8" w:rsidP="00AB15A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23504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15AF" w:rsidRPr="00AB15A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Exprimarea prin comunicare scrisă şi orală în limbaj tehnic a fundamentelor teoretice din domeniul ingineriei </w:t>
            </w:r>
          </w:p>
          <w:p w:rsidR="005D1549" w:rsidRPr="0040372D" w:rsidRDefault="00AB15AF" w:rsidP="00AB15A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AB15AF">
              <w:rPr>
                <w:rFonts w:ascii="Arial" w:hAnsi="Arial" w:cs="Arial"/>
                <w:bCs/>
                <w:sz w:val="18"/>
                <w:szCs w:val="18"/>
                <w:lang w:val="ro-RO"/>
              </w:rPr>
              <w:t>Selectarea unor principii, metode şi procedee de cercetare- proiectare în scopul rezolvării unor probleme specifice domeniului ingineresc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72350485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0B2A74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71372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C1 </w:t>
            </w:r>
            <w:r w:rsidR="00AB15AF" w:rsidRPr="00AB15A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Identificarea, definirea, utilizarea </w:t>
            </w:r>
            <w:proofErr w:type="spellStart"/>
            <w:r w:rsidR="00AB15AF" w:rsidRPr="00AB15AF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="00AB15AF" w:rsidRPr="00AB15A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</w:t>
            </w:r>
            <w:proofErr w:type="spellStart"/>
            <w:r w:rsidR="00AB15AF" w:rsidRPr="00AB15A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ştiinţele</w:t>
            </w:r>
            <w:proofErr w:type="spellEnd"/>
            <w:r w:rsidR="00AB15AF" w:rsidRPr="00AB15A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specifice domeniului ingineriei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2713723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FD5BE8" w:rsidP="004811F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4480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B2A7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 </w:t>
            </w:r>
            <w:r w:rsidR="004811F4" w:rsidRPr="004811F4">
              <w:rPr>
                <w:rFonts w:ascii="Arial" w:hAnsi="Arial" w:cs="Arial"/>
                <w:bCs/>
                <w:sz w:val="18"/>
                <w:szCs w:val="18"/>
                <w:lang w:val="ro-RO"/>
              </w:rPr>
              <w:t>Respectarea principiilor, normelor şi valorilor codului de etică profesională prin abordarea unei strategii de muncă riguroasă, eficientă şi responsabilă în rezolvarea problemelor si luarea deciziilor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4448024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DF2D78" w:rsidRPr="00DF2D78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32291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Introducerea unitar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fundamentelor  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tiin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ifice din domeniul Ingineriei electrice 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aplica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 practice esen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iale</w:t>
            </w:r>
            <w:r w:rsidR="00A92F1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: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studiul sistematic al circuitelor electrice sau electronice</w:t>
            </w:r>
            <w:r w:rsidR="00A92F1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;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A92F1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unoa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terea func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rii  ma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inilor electrice 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a unor echipamente electrice utilizate in construc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 de ma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ini, ac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ionarea lor electric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electronic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utilizarea lor în condi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 de exploatare sigur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corect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economic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; m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surarea electric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a unor m</w:t>
            </w:r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rimi electrice </w:t>
            </w:r>
            <w:proofErr w:type="spellStart"/>
            <w:r w:rsidR="00A92F10" w:rsidRPr="00D83DD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A92F1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A92F1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magnetice.</w:t>
            </w:r>
          </w:p>
          <w:p w:rsidR="00044711" w:rsidRPr="0040372D" w:rsidRDefault="00DF2D7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Cunoa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ş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terea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func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ţ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ă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rii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dispozitivelor construite din materiale semiconductoare </w:t>
            </w:r>
            <w:proofErr w:type="spellStart"/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ş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aplica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ţ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iilor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simple ale acestora,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apacitatea de a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în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ţ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elege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scheme simple, capacitatea de a selecta scheme </w:t>
            </w:r>
            <w:proofErr w:type="spellStart"/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ş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componente pentru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aplica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ţ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date, capacitatea de a m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ă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sura m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ă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rimile electrice în scheme electronice simple, capacitatea de efectua calcule,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demonstratii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aplicatii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pentru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lastRenderedPageBreak/>
              <w:t>dispozitivelor electronice analogice cum sunt diodele, tranzistoarele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amplificatoarele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opera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ţ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ionale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por</w:t>
            </w:r>
            <w:r w:rsidRPr="00F951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ţ</w:t>
            </w:r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le</w:t>
            </w:r>
            <w:proofErr w:type="spellEnd"/>
            <w:r w:rsidRPr="00F951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logice.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93229129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A92F10" w:rsidRPr="00A92F10" w:rsidRDefault="00FD5BE8" w:rsidP="00A92F1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98169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Dobândirea cuno</w:t>
            </w:r>
            <w:r w:rsidR="00A92F1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tin</w:t>
            </w:r>
            <w:r w:rsidR="00A92F1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A92F10"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elor fundamentale din domeniul materialelor electrotehnice, circuitelor electrice, câmpului electromagnetic</w:t>
            </w:r>
          </w:p>
          <w:p w:rsidR="00A92F10" w:rsidRPr="00A92F10" w:rsidRDefault="00A92F10" w:rsidP="00A92F1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A92F1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Ob</w:t>
            </w:r>
            <w:r w:rsidRPr="00A92F1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A92F1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inerea competen</w:t>
            </w:r>
            <w:r w:rsidRPr="00A92F1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A92F1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elor de Electrotehnic</w:t>
            </w:r>
            <w:r w:rsidRPr="00A92F1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A92F1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necesare în</w:t>
            </w:r>
            <w:r w:rsidRPr="00A92F1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A92F1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elegerii unor discipline predate ulterior</w:t>
            </w:r>
          </w:p>
          <w:p w:rsidR="000C773D" w:rsidRDefault="00FE279A" w:rsidP="000C77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rgirea orizontului tehnic , în scopul ob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inerii competen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elor utile conlucr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rii cu al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speciali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 pentru rezolvarea proiectelor multidisciplinare</w:t>
            </w:r>
          </w:p>
          <w:p w:rsidR="000C773D" w:rsidRPr="000C773D" w:rsidRDefault="000C773D" w:rsidP="000C77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0C773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Ilustrarea abord</w:t>
            </w:r>
            <w:r w:rsidRPr="000C773D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0C773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rii inginere</w:t>
            </w:r>
            <w:r w:rsidRPr="000C773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0C773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ti a problemelor concrete </w:t>
            </w:r>
            <w:r w:rsidRPr="000C773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0C773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dezvoltarea deprinderilor practice, a capacit</w:t>
            </w:r>
            <w:r w:rsidRPr="000C773D">
              <w:rPr>
                <w:rFonts w:ascii="Arial" w:hAnsi="Arial" w:cs="Arial"/>
                <w:bCs/>
                <w:sz w:val="18"/>
                <w:szCs w:val="18"/>
                <w:lang w:val="ro-RO"/>
              </w:rPr>
              <w:t>ăţ</w:t>
            </w:r>
            <w:r w:rsidRPr="000C773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 de m</w:t>
            </w:r>
            <w:r w:rsidRPr="000C773D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0C773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surare </w:t>
            </w:r>
            <w:r w:rsidRPr="000C773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0C773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interpretare a rezultatelor experimentale</w:t>
            </w:r>
          </w:p>
          <w:p w:rsidR="00EC6A2C" w:rsidRPr="0040372D" w:rsidRDefault="000C773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Sunt prezentate  echipamente electrice utilizate în construc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 de ma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ini cât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modul de m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surare electric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electronic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D83DD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circuitelor folosite la diverse echipamente.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29816966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6213E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2545350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84503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Notiuni Introductive: Introducerea principalelor marimi fizice si unitatile de masura ale acestora, folosite in ingineria electrica; Notiuni despre campul electric; Notiuni despre campul magnetic; Notiuni despre campul electromagnetic variabil in timp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1254535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31732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244D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3173203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54248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244D" w:rsidRPr="00372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Prelegere, explica</w:t>
            </w:r>
            <w:r w:rsidR="00FF244D" w:rsidRPr="00372432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FF244D" w:rsidRPr="00372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 exemplific</w:t>
            </w:r>
            <w:r w:rsidR="00FF244D" w:rsidRPr="0037243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FF244D" w:rsidRPr="00372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ri, conversa</w:t>
            </w:r>
            <w:r w:rsidR="00FF244D" w:rsidRPr="00372432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FF244D" w:rsidRPr="00372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ii, recomand</w:t>
            </w:r>
            <w:r w:rsidR="00FF244D" w:rsidRPr="0037243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FF244D" w:rsidRPr="00372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5424809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28442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A20CB" w:rsidRPr="00602F7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Elemente pasive ideale folosite in studiul circuitelor electrice: Rezistorul ideal; Conectarea serie/paralel/mixta a rezistoarelor; Condensatorul ideal; Conectarea serie/papralel/mixta a condensatoarelor ideale; Bobina ideala; Bobine cuplate magnetic  </w:t>
            </w:r>
            <w:r w:rsidR="001A20CB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75284421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48732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A20C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487327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07184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8051A" w:rsidRPr="002A73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Circuite liniare si filiforme de curent continuu: Teoremele lui Kirchhoff si modul de aplicare pentru calculul curentilor din circuit; Teoreme de conservare a puterilor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5071846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84931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8051A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849310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55114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772EE" w:rsidRPr="00A266A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Circuite liniare si filiforme in regim sinusoidal: Comportarea elementelor pasive la excitatie sinusoidala; Circuitul RLC serie; Teoremele lui Kirchhoff pentru regim sinusoidal; Puteri in regim sinusoidal; Factorul de putere; Circuite trifazate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0551144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15632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772EE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0156325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65690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42A5" w:rsidRPr="000501B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Principii de baza privind masinile electrice: transformatorul electric, motorul asincron, masini de curent continuu, principii de functionare si utilizare, caracteristici, pornire si reglarea turatiei.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656902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41111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42A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8411117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DF2D78" w:rsidRPr="00147173" w:rsidRDefault="00DF2D78" w:rsidP="00DF2D78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 w:cs="Verdana"/>
                <w:sz w:val="16"/>
                <w:szCs w:val="16"/>
                <w:lang w:val="ro-RO" w:eastAsia="ro-RO"/>
              </w:rPr>
            </w:pPr>
            <w:permStart w:id="565711840" w:edGrp="everyone"/>
            <w:r>
              <w:rPr>
                <w:rFonts w:ascii="Verdana" w:hAnsi="Verdana" w:cs="Verdana"/>
                <w:sz w:val="16"/>
                <w:szCs w:val="16"/>
                <w:lang w:val="ro-RO" w:eastAsia="ro-RO"/>
              </w:rPr>
              <w:t>Componente pasive.</w:t>
            </w:r>
            <w:r w:rsidRPr="00147417">
              <w:rPr>
                <w:lang w:val="it-IT"/>
              </w:rPr>
              <w:t xml:space="preserve"> </w:t>
            </w:r>
            <w:r w:rsidRPr="00147173">
              <w:rPr>
                <w:rFonts w:ascii="Verdana" w:hAnsi="Verdana" w:cs="Verdana"/>
                <w:sz w:val="16"/>
                <w:szCs w:val="16"/>
                <w:lang w:val="ro-RO" w:eastAsia="ro-RO"/>
              </w:rPr>
              <w:t xml:space="preserve">Rezistorul, </w:t>
            </w:r>
            <w:r>
              <w:rPr>
                <w:rFonts w:ascii="Verdana" w:hAnsi="Verdana" w:cs="Verdana"/>
                <w:sz w:val="16"/>
                <w:szCs w:val="16"/>
                <w:lang w:val="ro-RO" w:eastAsia="ro-RO"/>
              </w:rPr>
              <w:t>c</w:t>
            </w:r>
            <w:r w:rsidRPr="00147173">
              <w:rPr>
                <w:rFonts w:ascii="Verdana" w:hAnsi="Verdana" w:cs="Verdana"/>
                <w:sz w:val="16"/>
                <w:szCs w:val="16"/>
                <w:lang w:val="ro-RO" w:eastAsia="ro-RO"/>
              </w:rPr>
              <w:t xml:space="preserve">ondensatorul, </w:t>
            </w:r>
            <w:r>
              <w:rPr>
                <w:rFonts w:ascii="Verdana" w:hAnsi="Verdana" w:cs="Verdana"/>
                <w:sz w:val="16"/>
                <w:szCs w:val="16"/>
                <w:lang w:val="ro-RO" w:eastAsia="ro-RO"/>
              </w:rPr>
              <w:t>b</w:t>
            </w:r>
            <w:r w:rsidRPr="00147173">
              <w:rPr>
                <w:rFonts w:ascii="Verdana" w:hAnsi="Verdana" w:cs="Verdana"/>
                <w:sz w:val="16"/>
                <w:szCs w:val="16"/>
                <w:lang w:val="ro-RO" w:eastAsia="ro-RO"/>
              </w:rPr>
              <w:t xml:space="preserve">obina, </w:t>
            </w:r>
            <w:r>
              <w:rPr>
                <w:rFonts w:ascii="Verdana" w:hAnsi="Verdana" w:cs="Verdana"/>
                <w:sz w:val="16"/>
                <w:szCs w:val="16"/>
                <w:lang w:val="ro-RO" w:eastAsia="ro-RO"/>
              </w:rPr>
              <w:t>d</w:t>
            </w:r>
            <w:r w:rsidRPr="00147173">
              <w:rPr>
                <w:rFonts w:ascii="Verdana" w:hAnsi="Verdana" w:cs="Verdana"/>
                <w:sz w:val="16"/>
                <w:szCs w:val="16"/>
                <w:lang w:val="ro-RO" w:eastAsia="ro-RO"/>
              </w:rPr>
              <w:t>ivizor de</w:t>
            </w:r>
          </w:p>
          <w:p w:rsidR="00875BC6" w:rsidRPr="0040372D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47173">
              <w:rPr>
                <w:rFonts w:ascii="Verdana" w:hAnsi="Verdana" w:cs="Verdana"/>
                <w:sz w:val="16"/>
                <w:szCs w:val="16"/>
                <w:lang w:val="ro-RO" w:eastAsia="ro-RO"/>
              </w:rPr>
              <w:t>tensiune rezistiv</w:t>
            </w:r>
            <w:r>
              <w:rPr>
                <w:rFonts w:ascii="Verdana" w:hAnsi="Verdana" w:cs="Verdana"/>
                <w:sz w:val="16"/>
                <w:szCs w:val="16"/>
                <w:lang w:val="ro-RO" w:eastAsia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65711840"/>
          </w:p>
        </w:tc>
        <w:tc>
          <w:tcPr>
            <w:tcW w:w="2693" w:type="dxa"/>
          </w:tcPr>
          <w:p w:rsidR="00875BC6" w:rsidRPr="0040372D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15540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155401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DF2D78" w:rsidRPr="00147173" w:rsidRDefault="00DF2D78" w:rsidP="00DF2D78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277429755" w:edGrp="everyone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Dioda 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ș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circuite cu diode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Structura diodei, polarizare direct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ă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ș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invers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ă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</w:t>
            </w:r>
          </w:p>
          <w:p w:rsidR="00DF2D78" w:rsidRPr="00147173" w:rsidRDefault="00DF2D78" w:rsidP="00DF2D78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simbol, caracteristica static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ă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redresoare</w:t>
            </w:r>
          </w:p>
          <w:p w:rsidR="00875BC6" w:rsidRPr="0040372D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monoalternan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ță</w:t>
            </w:r>
            <w:proofErr w:type="spellEnd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bialternan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ță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742975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85692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2D7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1856920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DF2D78" w:rsidRPr="00147173" w:rsidRDefault="00DF2D78" w:rsidP="00DF2D78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161711892" w:edGrp="everyone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Tranzistorul bipolar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Structur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ă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func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ț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ionare, circuite de polarizare, model</w:t>
            </w:r>
          </w:p>
          <w:p w:rsidR="00DF2D78" w:rsidRPr="00147173" w:rsidRDefault="00DF2D78" w:rsidP="00DF2D78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 semnal mic, amplificator cu tranzistor bipolar,</w:t>
            </w:r>
          </w:p>
          <w:p w:rsidR="00875BC6" w:rsidRPr="0040372D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banda de frecven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ță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amplificatoare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6171189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21836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2D78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3218367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60925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DF2D78"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Tranzistoare cu efect de câmp</w:t>
            </w:r>
            <w:r w:rsidR="00DF2D7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="00DF2D78"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Structur</w:t>
            </w:r>
            <w:r w:rsidR="00DF2D78"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ă</w:t>
            </w:r>
            <w:r w:rsidR="00DF2D78"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func</w:t>
            </w:r>
            <w:r w:rsidR="00DF2D78"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ț</w:t>
            </w:r>
            <w:r w:rsidR="00DF2D78"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ionare, circuite de polarizare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96092567"/>
          </w:p>
        </w:tc>
        <w:tc>
          <w:tcPr>
            <w:tcW w:w="2693" w:type="dxa"/>
          </w:tcPr>
          <w:p w:rsidR="00875BC6" w:rsidRPr="0040372D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145016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145016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DF2D78" w:rsidRPr="00147173" w:rsidRDefault="00DF2D78" w:rsidP="00DF2D78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22310225" w:edGrp="everyone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Amplificatorul opera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ț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ional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Simbol, caracteristici, amplificatorul opera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ț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ional</w:t>
            </w:r>
          </w:p>
          <w:p w:rsidR="00DF2D78" w:rsidRPr="00147173" w:rsidRDefault="00DF2D78" w:rsidP="00DF2D78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ideal, circuite realizate cu amplificatoare</w:t>
            </w:r>
          </w:p>
          <w:p w:rsidR="00DF2D78" w:rsidRPr="00147173" w:rsidRDefault="00DF2D78" w:rsidP="00DF2D78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opera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ț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ionale, surse de tensiune stabilizat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ă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cu</w:t>
            </w:r>
          </w:p>
          <w:p w:rsidR="00875BC6" w:rsidRPr="0040372D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amplificator de eroare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31022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98410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2D78"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7984100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44215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2D78">
              <w:rPr>
                <w:rFonts w:ascii="Verdana" w:hAnsi="Verdana" w:cs="Verdana"/>
                <w:sz w:val="16"/>
                <w:szCs w:val="16"/>
                <w:lang w:val="ro-RO" w:eastAsia="ro-RO"/>
              </w:rPr>
              <w:t xml:space="preserve">Circuite logice. </w:t>
            </w:r>
            <w:r w:rsidR="00DF2D78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DF2D78"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Por</w:t>
            </w:r>
            <w:r w:rsidR="00DF2D78"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ț</w:t>
            </w:r>
            <w:r w:rsidR="00DF2D78"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 logice </w:t>
            </w:r>
            <w:r w:rsidR="00DF2D78"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ș</w:t>
            </w:r>
            <w:r w:rsidR="00DF2D78"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 circuite </w:t>
            </w:r>
            <w:proofErr w:type="spellStart"/>
            <w:r w:rsidR="00DF2D78"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combina</w:t>
            </w:r>
            <w:r w:rsidR="00DF2D78"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ț</w:t>
            </w:r>
            <w:r w:rsidR="00DF2D78"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ionale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2442154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33197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2D78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1331974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0224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02240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90498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6904981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631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6313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07406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074067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48079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2480796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59254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592546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4E2F5E" w:rsidRDefault="00CA7AAF" w:rsidP="0097724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74083976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E2F5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1</w:t>
            </w:r>
            <w:r w:rsidR="004E2F5E"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 D. Radu, Fundamente de inginerie electric</w:t>
            </w:r>
            <w:r w:rsidR="004E2F5E" w:rsidRPr="00A64565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4E2F5E"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Editura Orizonturi Universitare, Timi</w:t>
            </w:r>
            <w:r w:rsidR="004E2F5E" w:rsidRPr="00A6456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4E2F5E"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oara, 2006</w:t>
            </w:r>
          </w:p>
          <w:p w:rsidR="004E2F5E" w:rsidRDefault="004E2F5E" w:rsidP="0097724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2. C. Sora, ...., I. Bere </w:t>
            </w:r>
            <w:r w:rsidRPr="00A6456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.a., Bazele electrotehnicii-Teorie </w:t>
            </w:r>
            <w:r w:rsidRPr="00A6456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aplica</w:t>
            </w:r>
            <w:r w:rsidRPr="00A64565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ii, Editura Politehnica, Timi</w:t>
            </w:r>
            <w:r w:rsidRPr="00A6456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oara, 2010</w:t>
            </w:r>
          </w:p>
          <w:p w:rsidR="004E2F5E" w:rsidRDefault="004E2F5E" w:rsidP="0097724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3</w:t>
            </w:r>
            <w:r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 M. Greconici, Fundamente de Inginerie Electrica, Editura Orizonturi Universitare, Timi</w:t>
            </w:r>
            <w:r w:rsidRPr="00A6456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oara, 2006</w:t>
            </w:r>
          </w:p>
          <w:p w:rsidR="00DF2D78" w:rsidRDefault="004E2F5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4. I. Vetres, Electrotehnica si masini electrice, Institutul Politehnic „Traian Vuia”, </w:t>
            </w:r>
            <w:proofErr w:type="spellStart"/>
            <w:r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Pr="00A645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1980</w:t>
            </w:r>
          </w:p>
          <w:p w:rsidR="00DF2D78" w:rsidRPr="00147173" w:rsidRDefault="00DF2D78" w:rsidP="00DF2D7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5.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S. Ionel, </w:t>
            </w:r>
            <w:r w:rsidRPr="009D57F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Electronic</w:t>
            </w:r>
            <w:r w:rsidRPr="009D57F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ă</w:t>
            </w:r>
            <w:r w:rsidRPr="009D57F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pentru inginerii mecanic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i, ISBN </w:t>
            </w:r>
            <w:r w:rsidRPr="009D57F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9786065547407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Ed. "Politehnica", </w:t>
            </w:r>
            <w:proofErr w:type="spellStart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ş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oara</w:t>
            </w:r>
            <w:proofErr w:type="spellEnd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20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13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</w:p>
          <w:p w:rsidR="00DF2D78" w:rsidRPr="00147173" w:rsidRDefault="00DF2D78" w:rsidP="00DF2D7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6.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D.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Isar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notite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curs in format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pdf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2014</w:t>
            </w:r>
          </w:p>
          <w:p w:rsidR="009A4B9A" w:rsidRPr="0040372D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7.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L. Jurca, M. </w:t>
            </w:r>
            <w:proofErr w:type="spellStart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Ciugudean</w:t>
            </w:r>
            <w:proofErr w:type="spellEnd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Circuite Integrate Analogice, Editura Politehnica din </w:t>
            </w:r>
            <w:proofErr w:type="spellStart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</w:t>
            </w:r>
            <w:r w:rsidRPr="0014717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ş</w:t>
            </w:r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oara</w:t>
            </w:r>
            <w:proofErr w:type="spellEnd"/>
            <w:r w:rsidRPr="0014717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2014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74083976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40483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676DE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Laborator: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404839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40808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04080892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60915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Expunere tem</w:t>
            </w:r>
            <w:r w:rsidR="000676DE" w:rsidRPr="00D15CA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discu</w:t>
            </w:r>
            <w:r w:rsidR="000676DE" w:rsidRPr="00D15CA7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ii, r</w:t>
            </w:r>
            <w:r w:rsidR="000676DE" w:rsidRPr="00D15CA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spunsuri la întreb</w:t>
            </w:r>
            <w:r w:rsidR="000676DE" w:rsidRPr="00D15CA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ri, realizarea montajelor de c</w:t>
            </w:r>
            <w:r w:rsidR="000676DE" w:rsidRPr="00D15CA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tre studen</w:t>
            </w:r>
            <w:r w:rsidR="000676DE" w:rsidRPr="00D15CA7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i, corec</w:t>
            </w:r>
            <w:r w:rsidR="000676DE" w:rsidRPr="00D15CA7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ii-observa</w:t>
            </w:r>
            <w:r w:rsidR="000676DE" w:rsidRPr="00D15CA7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ii, m</w:t>
            </w:r>
            <w:r w:rsidR="000676DE" w:rsidRPr="00D15CA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sur</w:t>
            </w:r>
            <w:r w:rsidR="000676DE" w:rsidRPr="00D15CA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tori, prelucrarea </w:t>
            </w:r>
            <w:r w:rsidR="000676DE" w:rsidRPr="00D15CA7"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="000676DE" w:rsidRPr="00D15CA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interpretarea rezultatelor experimentale,modelare pe calculator, notare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16091542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02457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683C" w:rsidRPr="007443A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Masurarea marimilor electrice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024573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92080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683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9920803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26224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683C" w:rsidRPr="007443A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Circuite de curent continuu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262240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952450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683C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9524503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38377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683C" w:rsidRPr="007443A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Circuite in regim sinusoidal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3383770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48615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683C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1486154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08538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1179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Transformatorul electric monofazat</w:t>
            </w:r>
            <w:r w:rsidR="0091179C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206085387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44270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1179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5442705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28964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0289646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06760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1179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Motorul asincron cu rotorul in scurtcircuit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067601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41684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1179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3416842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7697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769704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991780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2D78" w:rsidRPr="00561C4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Aparate </w:t>
            </w:r>
            <w:r w:rsidR="00DF2D7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electronice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99178035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15198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2D78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151982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5273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6527321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0060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2D7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</w:t>
            </w:r>
            <w:r w:rsidR="00DF2D78" w:rsidRPr="00561C4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omponente electronice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300602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6341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2D7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63419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37239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372392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DF2D78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 w:cs="Verdana"/>
                <w:sz w:val="16"/>
                <w:szCs w:val="16"/>
                <w:lang w:val="ro-RO" w:eastAsia="ro-RO"/>
              </w:rPr>
            </w:pPr>
            <w:permStart w:id="118510857" w:edGrp="everyone"/>
            <w:r>
              <w:rPr>
                <w:rFonts w:ascii="Verdana" w:hAnsi="Verdana" w:cs="Verdana"/>
                <w:sz w:val="16"/>
                <w:szCs w:val="16"/>
                <w:lang w:val="ro-RO" w:eastAsia="ro-RO"/>
              </w:rPr>
              <w:t>Circuite cu diode</w:t>
            </w:r>
          </w:p>
          <w:p w:rsidR="00DF2D78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 w:cs="Verdana"/>
                <w:sz w:val="16"/>
                <w:szCs w:val="16"/>
                <w:lang w:val="ro-RO" w:eastAsia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2D78">
              <w:rPr>
                <w:rFonts w:ascii="Verdana" w:hAnsi="Verdana" w:cs="Verdana"/>
                <w:sz w:val="16"/>
                <w:szCs w:val="16"/>
                <w:lang w:val="ro-RO" w:eastAsia="ro-RO"/>
              </w:rPr>
              <w:t>Redresoare</w:t>
            </w:r>
          </w:p>
          <w:p w:rsidR="00780C44" w:rsidRPr="0040372D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Circuite integrate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18510857"/>
          </w:p>
        </w:tc>
        <w:tc>
          <w:tcPr>
            <w:tcW w:w="2693" w:type="dxa"/>
          </w:tcPr>
          <w:p w:rsidR="00DF2D78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04772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2D7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DF2D78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780C44" w:rsidRPr="0040372D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047729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82162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58216266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DF2D78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51725961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46E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1. </w:t>
            </w:r>
            <w:r w:rsidR="004F5C0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I. Tatai, </w:t>
            </w:r>
            <w:r w:rsidR="008A46E7" w:rsidRPr="008F6B7B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D. Vesa, Fundamente de Inginerie Eelectrica</w:t>
            </w:r>
            <w:r w:rsidR="004F5C0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Electronica</w:t>
            </w:r>
            <w:r w:rsidR="008A46E7" w:rsidRPr="008F6B7B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Lucrari </w:t>
            </w:r>
            <w:r w:rsidR="004F5C0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practice si </w:t>
            </w:r>
            <w:proofErr w:type="spellStart"/>
            <w:r w:rsidR="004F5C0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simulari</w:t>
            </w:r>
            <w:proofErr w:type="spellEnd"/>
            <w:r w:rsidR="004F5C0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numerice.</w:t>
            </w:r>
          </w:p>
          <w:p w:rsidR="00DF2D78" w:rsidRDefault="00DF2D78" w:rsidP="00DF2D7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2. D.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Isar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Lucrari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laborator de electronica, format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pdf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2014</w:t>
            </w:r>
          </w:p>
          <w:p w:rsidR="00CA7AAF" w:rsidRPr="0040372D" w:rsidRDefault="00DF2D7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3. D.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Isar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D.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Negoitescu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Electronica,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Indrumator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lucrari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laborator, litografia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Univeersitatii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Politehnica din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Timisoara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1995  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172596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F13A21" w:rsidRPr="00F13A21" w:rsidRDefault="00FD5BE8" w:rsidP="00F13A2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62462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13A21" w:rsidRPr="00F13A2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</w:t>
            </w:r>
            <w:r w:rsidR="00F13A21" w:rsidRPr="00F13A2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F13A21" w:rsidRPr="00F13A2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tin</w:t>
            </w:r>
            <w:r w:rsidR="00F13A21" w:rsidRPr="00F13A21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F13A21" w:rsidRPr="00F13A2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 de Electrotehnic</w:t>
            </w:r>
            <w:r w:rsidR="00F13A21" w:rsidRPr="00F13A2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F13A21" w:rsidRPr="00F13A2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general</w:t>
            </w:r>
            <w:r w:rsidR="00F13A21" w:rsidRPr="00F13A2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F13A21" w:rsidRPr="00F13A2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sunt necesare în</w:t>
            </w:r>
            <w:r w:rsidR="00F13A21" w:rsidRPr="00F13A21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F13A21" w:rsidRPr="00F13A2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elegerii unor discipline din planul de înv</w:t>
            </w:r>
            <w:r w:rsidR="00F13A21" w:rsidRPr="00F13A2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ăţă</w:t>
            </w:r>
            <w:r w:rsidR="00F13A21" w:rsidRPr="00F13A2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mânt, predate ulterior.</w:t>
            </w:r>
          </w:p>
          <w:p w:rsidR="00DF2D78" w:rsidRPr="00DF2D78" w:rsidRDefault="00F13A21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Aplica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iile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Electrotehnicii fiind general 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spândite, aceste cuno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 permit l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rgirea orizontului tehnic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conduc la de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prinderi utile în via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 de zi cu zi. De asemenea, conduc la competen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 necesare colabor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rii cu al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speciali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ti, pentru rezolvarea complet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7C52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 proiectelor complexe, multidisciplinare.</w:t>
            </w:r>
          </w:p>
          <w:p w:rsidR="00DE7F95" w:rsidRPr="0040372D" w:rsidRDefault="00DF2D7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Solicitarile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din mediul industrial au fost in permanenta axate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penecesitatea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insusirii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catre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studenti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cunostintelor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generale unui inginer. Orice echipament utilizat in industrie pentru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masurare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marimi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(electrice si/sau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nenelectrice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) impune si prezenta subansamblelor electrice sau electronice.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26246206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048147503" w:edGrp="everyone"/>
            <w:r w:rsidR="003203F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203F9" w:rsidRPr="0001635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Rezolvarea a doua aplicatii si trei chestiuni teoretice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814750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70656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203F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Examinare scrisa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706561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97147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203F9">
              <w:rPr>
                <w:rFonts w:ascii="Arial" w:hAnsi="Arial" w:cs="Arial"/>
                <w:bCs/>
                <w:sz w:val="18"/>
                <w:szCs w:val="18"/>
                <w:lang w:val="ro-RO"/>
              </w:rPr>
              <w:t>2/3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971477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8067692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06769296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52812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6528126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62796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627962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1685295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2428A" w:rsidRPr="0001635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Cunoasterea teoretica a lucrarii; Realizarea montajelor si a masuratorilor; Prelucrarea si interpretarea datelor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68529592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71144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2428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Teste scurte de verificare; Prezentarea functionarii montajelor si verificarea datelor masurate; Prezentarea lucrarii prelucrate, raspunsuri la intrebari</w:t>
            </w:r>
            <w:r w:rsidR="0072428A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98711447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83029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2428A">
              <w:rPr>
                <w:rFonts w:ascii="Arial" w:hAnsi="Arial" w:cs="Arial"/>
                <w:bCs/>
                <w:sz w:val="18"/>
                <w:szCs w:val="18"/>
                <w:lang w:val="ro-RO"/>
              </w:rPr>
              <w:t>1/3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1830292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7340987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34098763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745689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745689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09041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0904177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4383998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43839980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73246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2732463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18851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1885106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2D26A5" w:rsidRDefault="00893CC2" w:rsidP="002D26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25117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D26A5"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Cunoa</w:t>
            </w:r>
            <w:r w:rsidR="002D26A5" w:rsidRPr="002D26A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2D26A5"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terea no</w:t>
            </w:r>
            <w:r w:rsidR="002D26A5" w:rsidRPr="002D26A5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2D26A5"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iunilor fundamentale de Electrotehnic</w:t>
            </w:r>
            <w:r w:rsidR="002D26A5" w:rsidRPr="002D26A5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2D26A5"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(m</w:t>
            </w:r>
            <w:r w:rsidR="002D26A5" w:rsidRPr="002D26A5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2D26A5"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rimi, legi, teoreme)</w:t>
            </w:r>
          </w:p>
          <w:p w:rsidR="002D26A5" w:rsidRDefault="002D26A5" w:rsidP="002D26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Rezolvarea problemelor simple de curent continuu, de regim sinusoidal</w:t>
            </w:r>
          </w:p>
          <w:p w:rsidR="002D26A5" w:rsidRPr="002D26A5" w:rsidRDefault="002D26A5" w:rsidP="002D26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Realizarea corect</w:t>
            </w:r>
            <w:r w:rsidRPr="002D26A5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(dup</w:t>
            </w:r>
            <w:r w:rsidRPr="002D26A5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schem</w:t>
            </w:r>
            <w:r w:rsidRPr="002D26A5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dat</w:t>
            </w:r>
            <w:r w:rsidRPr="002D26A5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) a un</w:t>
            </w:r>
            <w:bookmarkStart w:id="0" w:name="_GoBack"/>
            <w:bookmarkEnd w:id="0"/>
            <w:r w:rsidRPr="002D26A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ui montaj de complexitate medie</w:t>
            </w:r>
          </w:p>
          <w:p w:rsidR="00C12BE1" w:rsidRPr="0040372D" w:rsidRDefault="002D26A5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1717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D1717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pânirea citirii aparatelor de m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D1717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D1717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r w:rsidRPr="00D1717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interpretarea corect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D1717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datelor experimentale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2511762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24586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682458681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2456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5245663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0D" w:rsidRDefault="00124D0D">
      <w:r>
        <w:separator/>
      </w:r>
    </w:p>
  </w:endnote>
  <w:endnote w:type="continuationSeparator" w:id="0">
    <w:p w:rsidR="00124D0D" w:rsidRDefault="0012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0D" w:rsidRDefault="00124D0D">
      <w:r>
        <w:separator/>
      </w:r>
    </w:p>
  </w:footnote>
  <w:footnote w:type="continuationSeparator" w:id="0">
    <w:p w:rsidR="00124D0D" w:rsidRDefault="00124D0D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E3C2838"/>
    <w:multiLevelType w:val="multilevel"/>
    <w:tmpl w:val="548009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676DE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968"/>
    <w:rsid w:val="000A6FD5"/>
    <w:rsid w:val="000A7D35"/>
    <w:rsid w:val="000B032D"/>
    <w:rsid w:val="000B2548"/>
    <w:rsid w:val="000B2A74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73D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1F95"/>
    <w:rsid w:val="0012207C"/>
    <w:rsid w:val="00122DEA"/>
    <w:rsid w:val="00122E8C"/>
    <w:rsid w:val="00123868"/>
    <w:rsid w:val="00123F21"/>
    <w:rsid w:val="00124D0D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20CB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4FC0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6A5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03F9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632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802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58B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1F4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647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2F5E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0A08"/>
    <w:rsid w:val="004F3055"/>
    <w:rsid w:val="004F3FCF"/>
    <w:rsid w:val="004F535E"/>
    <w:rsid w:val="004F5C00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B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193F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C2B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8D2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3C93"/>
    <w:rsid w:val="00715E30"/>
    <w:rsid w:val="007161E7"/>
    <w:rsid w:val="00716C28"/>
    <w:rsid w:val="0071760E"/>
    <w:rsid w:val="007176C3"/>
    <w:rsid w:val="00717915"/>
    <w:rsid w:val="0072270C"/>
    <w:rsid w:val="00722A58"/>
    <w:rsid w:val="00722B54"/>
    <w:rsid w:val="00723C03"/>
    <w:rsid w:val="00723E91"/>
    <w:rsid w:val="0072428A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1E9A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449A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6C28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1D78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6E7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179C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24DA8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2F10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15AF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4F85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7F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64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2D78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83C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13E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2EE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2A5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3A21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51A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71B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79A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542"/>
    <w:rsid w:val="00FF0723"/>
    <w:rsid w:val="00FF0AB0"/>
    <w:rsid w:val="00FF0F84"/>
    <w:rsid w:val="00FF127B"/>
    <w:rsid w:val="00FF12F4"/>
    <w:rsid w:val="00FF1484"/>
    <w:rsid w:val="00FF244D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2DFD879-5506-4348-B1EC-909034EC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1E26-C5DD-42E3-89EE-66828B09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1728</Words>
  <Characters>9852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creator>user</dc:creator>
  <cp:lastModifiedBy>Linul Emanoil</cp:lastModifiedBy>
  <cp:revision>5</cp:revision>
  <cp:lastPrinted>2016-11-02T09:24:00Z</cp:lastPrinted>
  <dcterms:created xsi:type="dcterms:W3CDTF">2019-04-08T07:31:00Z</dcterms:created>
  <dcterms:modified xsi:type="dcterms:W3CDTF">2020-02-16T12:37:00Z</dcterms:modified>
</cp:coreProperties>
</file>