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4613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128B"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Univeristatea Politehnica Timisoara  </w:t>
            </w:r>
            <w:permEnd w:id="185546138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B3128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3801386" w:edGrp="everyone"/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Mecanica/ MMUT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380138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32821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128B"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Mecanica/180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328217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B3128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37502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375026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B3128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8655146" w:edGrp="everyone"/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Mecanica/50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/Inginer mecanic</w:t>
            </w:r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865514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128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4015752" w:edGrp="everyone"/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Ingineria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istemelor de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roces</w:t>
            </w:r>
            <w:r w:rsidR="00C77611">
              <w:rPr>
                <w:rFonts w:ascii="Arial" w:hAnsi="Arial" w:cs="Arial"/>
                <w:bCs/>
                <w:sz w:val="18"/>
                <w:szCs w:val="18"/>
                <w:lang w:val="ro-RO"/>
              </w:rPr>
              <w:t>/D</w:t>
            </w:r>
            <w:r w:rsidR="004E31D3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permEnd w:id="105401575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128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245873" w:edGrp="everyone"/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prof.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2331E9">
              <w:rPr>
                <w:rFonts w:ascii="Arial" w:hAnsi="Arial" w:cs="Arial"/>
                <w:bCs/>
                <w:sz w:val="18"/>
                <w:szCs w:val="18"/>
                <w:lang w:val="ro-RO"/>
              </w:rPr>
              <w:t>ng.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c. Dumitru TUCU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245873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57925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128B"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ș.l. dr. ing. Dinu-Valenti</w:t>
            </w:r>
            <w:bookmarkStart w:id="0" w:name="_GoBack"/>
            <w:bookmarkEnd w:id="0"/>
            <w:r w:rsidR="00B3128B"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Gubencu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5792539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B3128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484044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404422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83085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58308533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99334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9933448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20460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FE330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204609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79083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E330E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790836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87117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E330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8711775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590893708" w:edGrp="everyone"/>
            <w:permEnd w:id="159089370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18170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FE330E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1817076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FE330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95901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9590154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FE330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2194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219403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7351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8735173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0328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032800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2129867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2129867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53673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5367327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3977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397745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487714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487714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93623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936233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44657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3.57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446572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761CF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43872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438722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761CF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98932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1.57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989328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62328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5623287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761CF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430259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4302594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03108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E330E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4031087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761CF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46880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46880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FE330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45180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451803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05562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>6,57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5055629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79661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E31D3">
              <w:rPr>
                <w:rFonts w:ascii="Arial" w:hAnsi="Arial" w:cs="Arial"/>
                <w:bCs/>
                <w:sz w:val="18"/>
                <w:szCs w:val="18"/>
                <w:lang w:val="ro-RO"/>
              </w:rPr>
              <w:t>92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796612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62978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E31D3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826297813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4E31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13320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E31D3" w:rsidRPr="004E31D3">
              <w:rPr>
                <w:rFonts w:ascii="Arial" w:hAnsi="Arial" w:cs="Arial"/>
                <w:bCs/>
                <w:sz w:val="18"/>
                <w:szCs w:val="18"/>
                <w:lang w:val="ro-RO"/>
              </w:rPr>
              <w:t>Algebra, Analiza Matematica, Tehnologie, Stiinta Materialelor, Rezistenta Materialelor, Microeconomie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1332096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8377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E31D3">
              <w:rPr>
                <w:rFonts w:ascii="Arial" w:hAnsi="Arial" w:cs="Arial"/>
                <w:bCs/>
                <w:sz w:val="18"/>
                <w:szCs w:val="18"/>
                <w:lang w:val="ro-RO"/>
              </w:rPr>
              <w:t>C1 și C2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837788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21801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2180177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18609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1860901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761CFD" w:rsidRDefault="00FD5BE8" w:rsidP="00761C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52324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Analiza/ diagnosticarea echipamentelor </w:t>
            </w:r>
            <w:proofErr w:type="spellStart"/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utilajelor din domeniul ingineriei mecanice, prin aplicarea de concepte, teorii </w:t>
            </w:r>
            <w:proofErr w:type="spellStart"/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lucru în vederea alegerii, instalării, exploatării </w:t>
            </w:r>
            <w:proofErr w:type="spellStart"/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61CFD"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mentenanţei</w:t>
            </w:r>
            <w:proofErr w:type="spellEnd"/>
            <w:r w:rsidR="00761C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acestora</w:t>
            </w:r>
          </w:p>
          <w:p w:rsidR="00761CFD" w:rsidRDefault="00761CFD" w:rsidP="00761C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Evaluarea critică </w:t>
            </w:r>
            <w:proofErr w:type="spellStart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constructivă a </w:t>
            </w:r>
            <w:proofErr w:type="spellStart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modalităţilor</w:t>
            </w:r>
            <w:proofErr w:type="spellEnd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rezolvare a problemelor tehnologice de </w:t>
            </w:r>
            <w:proofErr w:type="spellStart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fab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ricaţie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structurilor mecanice</w:t>
            </w:r>
          </w:p>
          <w:p w:rsidR="005D1549" w:rsidRPr="0040372D" w:rsidRDefault="00761CFD" w:rsidP="0020579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Implementarea unor principii, metode </w:t>
            </w:r>
            <w:proofErr w:type="spellStart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strategii adecvate </w:t>
            </w:r>
            <w:proofErr w:type="spellStart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fabricaţiei,utilizării</w:t>
            </w:r>
            <w:proofErr w:type="spellEnd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mentenanţei</w:t>
            </w:r>
            <w:proofErr w:type="spellEnd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structurilor </w:t>
            </w:r>
            <w:proofErr w:type="spellStart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permEnd w:id="1065232454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761CFD" w:rsidP="00AB5E7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5237577" w:edGrp="everyone"/>
            <w:r w:rsidRPr="00205790">
              <w:rPr>
                <w:rFonts w:ascii="Arial" w:hAnsi="Arial" w:cs="Arial"/>
                <w:bCs/>
                <w:sz w:val="18"/>
                <w:szCs w:val="18"/>
                <w:lang w:val="ro-RO"/>
              </w:rPr>
              <w:t>C3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2057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Alegerea, instalarea, exploatarea </w:t>
            </w:r>
            <w:proofErr w:type="spellStart"/>
            <w:r w:rsidRPr="0020579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2057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205790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mentenanţa</w:t>
            </w:r>
            <w:proofErr w:type="spellEnd"/>
            <w:r w:rsidRPr="002057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din domeniul ingineriei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– 1,8 p – 6,34%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5237577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AB5E7B" w:rsidRDefault="00AB5E7B" w:rsidP="00AB5E7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340926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CT1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Respectarea principiilor, normelor şi valorilor codului de etică profesională prin abordarea unei strategii de muncă riguroasă, eficientă şi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0,6p -1,4%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5D1549" w:rsidRPr="0040372D" w:rsidRDefault="00AB5E7B" w:rsidP="00AB5E7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B5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CT2-Aplicarea tehnicilor de relaţionare şi muncă eficientă în echipă multidisciplinară, pe diverse paliere ierarhice, în cadrul colectivului de lucru-managementul de proiect specifi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ce, 0,6p-3,19%</w:t>
            </w:r>
            <w:permEnd w:id="1693409268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F2444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49943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24449" w:rsidRP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Însuşirea de către studenţi</w:t>
            </w:r>
            <w:r w:rsid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>, în mod sistemic,</w:t>
            </w:r>
            <w:r w:rsidR="00F24449" w:rsidRP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cunoştinţelor de bază din domeniul ciclului de viață al sistemelor inginerești de proces, complexe, cu referire la necesitățile de</w:t>
            </w:r>
            <w:r w:rsid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proiectare și</w:t>
            </w:r>
            <w:r w:rsidR="00F24449" w:rsidRP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integrare a proceselor şi implicaţii</w:t>
            </w:r>
            <w:r w:rsid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 w:rsidR="00F24449" w:rsidRP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asupra mediului </w:t>
            </w:r>
            <w:permEnd w:id="434994354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F24449" w:rsidRDefault="00FD5BE8" w:rsidP="00F2444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70270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>F</w:t>
            </w:r>
            <w:r w:rsidR="00F24449" w:rsidRPr="00F24449">
              <w:rPr>
                <w:rFonts w:ascii="Arial" w:hAnsi="Arial" w:cs="Arial"/>
                <w:bCs/>
                <w:sz w:val="18"/>
                <w:szCs w:val="18"/>
                <w:lang w:val="ro-RO"/>
              </w:rPr>
              <w:t>amiliarizarea cu terminologia, metodele  şi tipicul noţiunilor specifice, vizând elementele componente, structurarea, funcţionarea, calculul şi condiţiile modelelor</w:t>
            </w:r>
          </w:p>
          <w:p w:rsidR="00F24449" w:rsidRDefault="00F24449" w:rsidP="00F2444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 unor metode de analiaă și optimizare a proceselor industriale de fabricație</w:t>
            </w:r>
          </w:p>
          <w:p w:rsidR="00EC6A2C" w:rsidRPr="0040372D" w:rsidRDefault="00F24449" w:rsidP="00F2444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proiectelor prin aploicarea preceptelor ciclului de viață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7027034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E7597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0475913" w:edGrp="everyone"/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Conceptul de ingineria sistemelor și inginerie de process. Tipologia sistemelor de proces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2047591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67262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56726258"/>
          </w:p>
        </w:tc>
        <w:tc>
          <w:tcPr>
            <w:tcW w:w="2091" w:type="dxa"/>
            <w:vMerge w:val="restart"/>
          </w:tcPr>
          <w:p w:rsidR="005E7597" w:rsidRPr="005E7597" w:rsidRDefault="00875BC6" w:rsidP="005E759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64146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Prezentarea logica si deductiva, explicatia, dezbaterea, problematizarea, metode de lucru in grup, studiul documentelor curriculare si al bibliografiei, </w:t>
            </w:r>
          </w:p>
          <w:p w:rsidR="00875BC6" w:rsidRPr="0040372D" w:rsidRDefault="005E759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Metode euristice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641469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232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analiză in ingineria sistemelor de proces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2329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64164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641649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6667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Modele și meta-modele în ingineria sistemelor de proces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9666752"/>
          </w:p>
        </w:tc>
        <w:tc>
          <w:tcPr>
            <w:tcW w:w="2693" w:type="dxa"/>
          </w:tcPr>
          <w:p w:rsidR="00875BC6" w:rsidRPr="0040372D" w:rsidRDefault="005E759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6841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168411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53836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și evaluarea proceselor în ingineria sistemelor de proces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1538366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35973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359736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02218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Activități specifice în ingineria sistemelor de proces  </w:t>
            </w:r>
            <w:permEnd w:id="83022188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49764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149764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E759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227354" w:edGrp="everyone"/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Instrumente ale ingineriei sistemelor de proces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22735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58932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589321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E759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4243216" w:edGrp="everyone"/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Ciclul de viață al produselor si costurile asociate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424321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23061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230618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6028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</w:t>
            </w:r>
            <w:permEnd w:id="7460283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47666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476660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83676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9836763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98651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986513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8018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80187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00196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001964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25542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255429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91726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4917265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02422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02422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56117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561171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15911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4159115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03810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038105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70821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708210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0594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0594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5E7597" w:rsidRPr="005E7597" w:rsidRDefault="00CA7AAF" w:rsidP="005E759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379292767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Dumitru Tucu – Ingineria Sistemelor de proces, Suport curs scris si electronic</w:t>
            </w:r>
          </w:p>
          <w:p w:rsidR="005E7597" w:rsidRPr="005E7597" w:rsidRDefault="005E7597" w:rsidP="005E759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Dumitru Tucu – Ingineria sistemelor de proces, Ed. Eurostampa 2012, </w:t>
            </w:r>
          </w:p>
          <w:p w:rsidR="00B41A75" w:rsidRDefault="005E7597" w:rsidP="005E759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2. Dumitru Tucu – Opimizarea costurilor calitatii, Ed. Eurostampa 2010,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5E7597" w:rsidRPr="005E7597" w:rsidRDefault="00B41A75" w:rsidP="005E759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Dumitru Tucu – Opimizarea costurilor calitatii</w:t>
            </w:r>
            <w:r w:rsid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sistemele industriale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Ed. Eurostampa 201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</w:p>
          <w:p w:rsidR="005E7597" w:rsidRPr="005E7597" w:rsidRDefault="005E7597" w:rsidP="005E759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. Overview of the System Engineering Process, Ed Ryen, PE Maintenance – ITS, March 2008</w:t>
            </w:r>
          </w:p>
          <w:p w:rsidR="005E7597" w:rsidRPr="005E7597" w:rsidRDefault="005E7597" w:rsidP="005E759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>. Life Cycle Cost Analysis Handbook – 1st Edition, State of Alaska Department of Education &amp; Early Development Juneau, Alaska, 1999</w:t>
            </w:r>
          </w:p>
          <w:p w:rsidR="009A4B9A" w:rsidRPr="0040372D" w:rsidRDefault="00B41A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5E7597" w:rsidRPr="005E759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Code of Practice for Life Cycle Costing, RTO-SAS-069, 2009  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9292767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3128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5256189" w:edGrp="everyone"/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structural-funcțională a echipamentelor tehnologice modulare comandate numeric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525618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4280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428003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4058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Metode de lucru în grup, studiul de caz, experimente, simularea  de situații, explicația, demonstrația, algoritmizarea, problematizarea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405854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3128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1646348" w:edGrp="everyone"/>
            <w:r w:rsidRPr="00B3128B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CAD-CAM de proiectare a proceselor de frezare în 3 axe</w:t>
            </w:r>
            <w:permEnd w:id="1231646348"/>
          </w:p>
        </w:tc>
        <w:tc>
          <w:tcPr>
            <w:tcW w:w="2693" w:type="dxa"/>
          </w:tcPr>
          <w:p w:rsidR="00875BC6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29427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294274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131933" w:edGrp="everyone"/>
            <w:r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Stabilirea parametrilor regimului de așchiere la frezare și a influenței acestora asupra rugozității suprafețelor prelucrate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13193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81749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1817495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91005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dispozitivelor de instalare a semifabricatelor. Determinarea forțelor de strângere dezvoltate de menghinele de mașină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9100549"/>
          </w:p>
        </w:tc>
        <w:tc>
          <w:tcPr>
            <w:tcW w:w="2693" w:type="dxa"/>
          </w:tcPr>
          <w:p w:rsidR="00875BC6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073207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073207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9655627" w:edGrp="everyone"/>
            <w:r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Studiul comparativ al strategiilor de prelucrare prin frezare a entităților geometrice complexe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965562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5858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058587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6820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6820004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7380433" w:edGrp="everyone"/>
            <w:r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Proiectarea tehnologică asistată a proceselor de frezare în 2½ axe și 4 axe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7380433"/>
          </w:p>
        </w:tc>
        <w:tc>
          <w:tcPr>
            <w:tcW w:w="2693" w:type="dxa"/>
          </w:tcPr>
          <w:p w:rsidR="00780C44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24048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240485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995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995033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8307665" w:edGrp="everyone"/>
            <w:r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tehnologiilor de sudare cu ultrasunete asistate de calculator a materialelor plastice și compozite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830766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6701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67010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28058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280580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3927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39279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66139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1661390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62023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620230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05409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054092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19211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9192117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29560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02956090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56D82" w:rsidRPr="00E56D82" w:rsidRDefault="00CA7AAF" w:rsidP="00E56D8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506176950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1. Gubencu, D., Reviczky-Levay, A., Mnerie, A., Slavici, T. –  Procese tehnologice asistate de calculator, Editura Fundaţiei pentru Cultură şi Învăţământ „Ioan Slavici”, Timişoara, 2009</w:t>
            </w:r>
          </w:p>
          <w:p w:rsidR="00E56D82" w:rsidRPr="00E56D82" w:rsidRDefault="00E56D82" w:rsidP="00E56D8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2. Ungureanu, G. – Computer Aided Manufacturing, Iași, 2005</w:t>
            </w:r>
          </w:p>
          <w:p w:rsidR="00CA7AAF" w:rsidRPr="0040372D" w:rsidRDefault="00E56D8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Radhakrishnan, P, Subramanyan, S., Raju, V. – CAD/CAM/CIM, Third Edition, New Age International Publishers, New Delhi, 2008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06176950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41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59246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1A75" w:rsidRP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Ajustarea continutului disciplinei in urma discutiilor cu reprezentanti ai angajatorilor de la Continental, Saab Casting, Mahle, Dosetimpex, Dura System Engineering, Frigoglass etc.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5924691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B41A75" w:rsidRPr="00B41A75" w:rsidRDefault="0042178D" w:rsidP="00B41A75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2982467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1A75" w:rsidRP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10.4.1 Intelegere si acumulare cunostiinte</w:t>
            </w:r>
          </w:p>
          <w:p w:rsidR="00B41A75" w:rsidRPr="00B41A75" w:rsidRDefault="00B41A75" w:rsidP="00B41A75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10.4.2 Abilitati de utilizare a metodelor</w:t>
            </w:r>
          </w:p>
          <w:p w:rsidR="0042178D" w:rsidRPr="0040372D" w:rsidRDefault="00B41A7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10.4.3 Audiere curs 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2982467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B41A75" w:rsidRPr="00B41A75" w:rsidRDefault="0042178D" w:rsidP="00B41A75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72218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1A75" w:rsidRP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10.4.1  prin 3 verificari distribuite, examinare scrisa</w:t>
            </w:r>
          </w:p>
          <w:p w:rsidR="00B41A75" w:rsidRPr="00B41A75" w:rsidRDefault="00B41A75" w:rsidP="00B41A75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10.4.2 Testarea abilitatilor de utilizare a unei metode la o aplicatie in cadrul verificarilor</w:t>
            </w:r>
          </w:p>
          <w:p w:rsidR="0042178D" w:rsidRPr="0040372D" w:rsidRDefault="00B41A7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41A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10.4.3 Acordarea de bonificatii pentru prezenta  </w:t>
            </w:r>
            <w:permEnd w:id="192722188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4964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66%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4496496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2795493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79549344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26786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267868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11906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1190678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6444954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 metodelor de operare și programare a echipamentelor cu comandă numerică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95440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19727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6D82" w:rsidRPr="00E56D8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Evaluare sumativă – temă aplicativă și prezentarea referatelor de laborator, cu prelucrarea și interpretarea rezultatelor experimentale  </w:t>
            </w:r>
            <w:permEnd w:id="1941972733"/>
          </w:p>
        </w:tc>
        <w:tc>
          <w:tcPr>
            <w:tcW w:w="1959" w:type="dxa"/>
            <w:vAlign w:val="center"/>
          </w:tcPr>
          <w:p w:rsidR="0042178D" w:rsidRPr="0040372D" w:rsidRDefault="00E56D82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54311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34%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543112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069179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6917942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685956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685956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69036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6903673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406782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067825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34164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341646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90818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9081896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DB6A56" w:rsidRDefault="00DB6A56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88689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Cuoașterea și aplicarea unei metode de proiectare/optimizare a proceselor de fabricație</w:t>
            </w:r>
          </w:p>
          <w:p w:rsidR="00DB6A56" w:rsidRDefault="00DB6A56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unui proiect pe baza ciclului de viață</w:t>
            </w:r>
          </w:p>
          <w:p w:rsidR="00DB6A56" w:rsidRDefault="00DB6A56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calității</w:t>
            </w:r>
          </w:p>
          <w:p w:rsidR="00C12BE1" w:rsidRPr="0040372D" w:rsidRDefault="00DB6A56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Verificarea prin aplicații pe baza analizei etapelor și rezultatelor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8868987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26621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682662152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5892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6589288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8A" w:rsidRDefault="007A278A">
      <w:r>
        <w:separator/>
      </w:r>
    </w:p>
  </w:endnote>
  <w:endnote w:type="continuationSeparator" w:id="0">
    <w:p w:rsidR="007A278A" w:rsidRDefault="007A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8A" w:rsidRDefault="007A278A">
      <w:r>
        <w:separator/>
      </w:r>
    </w:p>
  </w:footnote>
  <w:footnote w:type="continuationSeparator" w:id="0">
    <w:p w:rsidR="007A278A" w:rsidRDefault="007A278A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790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1E9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1A82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1D3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3D64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597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1CFD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278A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4628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69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5E7B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28B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1A75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611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6A56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6F1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6D82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449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9BD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148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330E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050C-1622-48D3-A58F-E649F40F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1338</Words>
  <Characters>7631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4</cp:revision>
  <cp:lastPrinted>2016-11-02T09:24:00Z</cp:lastPrinted>
  <dcterms:created xsi:type="dcterms:W3CDTF">2019-04-08T07:42:00Z</dcterms:created>
  <dcterms:modified xsi:type="dcterms:W3CDTF">2020-02-16T13:09:00Z</dcterms:modified>
</cp:coreProperties>
</file>