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943306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Universitatea Politehnica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94330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1551365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Mecanica/MMUT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155136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5377929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F9537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180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3537792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6104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61043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9537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76021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50/inginer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4760214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87525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Mecanica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fluidelor și mașini hidraulice </w:t>
            </w:r>
            <w:r w:rsidR="00090E15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8752503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474687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Prof.univ.dr.ing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 Liviu Eugen ANTON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47468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15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457A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.dr.ing</w:t>
            </w:r>
            <w:proofErr w:type="spellEnd"/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. Adrian Ciprian STUPARU</w:t>
            </w:r>
            <w:permEnd w:id="7215485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066960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6696078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42849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4284952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24675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12467523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839185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8391855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67358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4,5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673584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39372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3937285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104292140" w:edGrp="everyone"/>
            <w:permEnd w:id="110429214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6328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0632899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05951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63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059514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65684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6568438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5726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953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21/14/0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57261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8434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484349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229640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229640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9414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94146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97597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975978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31848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31848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85392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853925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32442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F95373">
              <w:rPr>
                <w:rFonts w:ascii="Arial" w:hAnsi="Arial" w:cs="Arial"/>
                <w:bCs/>
                <w:sz w:val="18"/>
                <w:szCs w:val="18"/>
                <w:lang w:val="ro-RO"/>
              </w:rPr>
              <w:t>,57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324426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07175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071754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57252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01009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010099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F9537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35256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1,57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3525639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57252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25254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2525472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1836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18363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57252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77680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776800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93492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953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93492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89895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F95373">
              <w:rPr>
                <w:rFonts w:ascii="Arial" w:hAnsi="Arial" w:cs="Arial"/>
                <w:bCs/>
                <w:sz w:val="18"/>
                <w:szCs w:val="18"/>
                <w:lang w:val="ro-RO"/>
              </w:rPr>
              <w:t>,07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898952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20560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113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2205601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40783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4078312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92398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0349452" w:edGrp="everyone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Fizică, Algebră, Analiză matematică, Matematici speciale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0349452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40988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4098831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6193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619322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6487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648715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897BDE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08037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cunoștințelor specifice pentru identificarea, analiza și soluționarea problemelor inginerești.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0803721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694259" w:rsidP="006942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476505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permEnd w:id="674765058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694259" w:rsidP="006942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7907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425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790771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92398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2826013" w:edGrp="everyone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Cursul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îşi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propune să prezinte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legile generale ale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mişcării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repausului diferitelor fluide, a căror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prezenţă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viaţa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cotidiană este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obişnuită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: agentul termic, apa potabilă, aerul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condiţionat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apele uzate, gaze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lichide combustibile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2826013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12791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Sunt prezentate principalele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ale domeniului mecanicii fluidelor cât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principalele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maşini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hidraulice ce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funcţionează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fluide: pompe, ventilatoare, turbine hidraulice,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turbotransmisii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1279145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7252F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3784641" w:edGrp="everyone"/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Experienţele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Reynlods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Studiul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mişcării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laminare în conducte circulare</w:t>
            </w:r>
            <w:permEnd w:id="1693784641"/>
          </w:p>
        </w:tc>
        <w:tc>
          <w:tcPr>
            <w:tcW w:w="2693" w:type="dxa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49186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4918686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52268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predare,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conversaţie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explicaţii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demonstraţii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5226855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8155105" w:edGrp="everyone"/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Ecuaţia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Reynolds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Pierderea hidraulică în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mişcarea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turbulentă.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Experienţele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lui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Nicuradse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Formula de calcul pentru coeficientul λ.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Rezistenţe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hidraulice locale</w:t>
            </w:r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8155105"/>
          </w:p>
        </w:tc>
        <w:tc>
          <w:tcPr>
            <w:tcW w:w="2693" w:type="dxa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4528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4528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3183365" w:edGrp="everyone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Jeturi fluide</w:t>
            </w:r>
            <w:permEnd w:id="149318336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34609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346093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88832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Mişcări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permanente în conducte sub presiune.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Mişcarea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nepermanentă în conducte sub presiune</w:t>
            </w:r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8883244"/>
          </w:p>
        </w:tc>
        <w:tc>
          <w:tcPr>
            <w:tcW w:w="2693" w:type="dxa"/>
          </w:tcPr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42932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42932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00432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Mişcarea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fluidelor în jurul corpurilor.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înaintare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portanţa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Profile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aerodinamice</w:t>
            </w:r>
            <w:permEnd w:id="198004320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13496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13496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2173326" w:edGrp="everyone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Clasificarea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maşinilor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hidraulice. Similitudinea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maşinilor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hidraulice. Turbopompe. Ventilatoare. Turbine hidraulice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2173326"/>
          </w:p>
        </w:tc>
        <w:tc>
          <w:tcPr>
            <w:tcW w:w="2693" w:type="dxa"/>
          </w:tcPr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28471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28471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7342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734270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87320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873207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39386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393863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3210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321082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0373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0373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778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778733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2360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23607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8899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88993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39183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391831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57777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577770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54888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548888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7758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775875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05658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056587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68281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682810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49405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49405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76617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76617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870EFA" w:rsidRPr="00870EFA" w:rsidRDefault="00CA7AAF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2288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.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Anton, L.,E., Baya, Al.,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Mecanica fluidelor,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,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ISBN 973-8391-65-2, Editura Orizonturi Universitare, </w:t>
            </w:r>
            <w:proofErr w:type="spellStart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2.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Resiga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R.,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Mecanica fluidelor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973-8391-72-5,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3.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Stuparu A.,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Hidrodinamică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978-973-638-330-4,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2007.</w:t>
            </w: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Anton, L.E. et al.,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Mecanica fluidelor,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Aplicaţii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de calcul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973-638-076-9,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2004. </w:t>
            </w:r>
          </w:p>
          <w:p w:rsidR="009A4B9A" w:rsidRPr="0040372D" w:rsidRDefault="00870EF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5.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Ancuşa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V.,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Culegere de probleme de Mecanica fluidelor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Centrul de multiplicare Universitatea Tehnică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1993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2288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2724799" w:edGrp="everyone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Laborator: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protecţia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muncii. Prezentare laborator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coeficientului de pierdere hidraulică λ.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coeficientului de pierdere hidraulică locală ζ pentru diverse tipuri de coturi.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coeficientului de pierdere hidraulică locală ζ pentru o destindere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contracţie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bruscă.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coeficientului de pierdere hidraulică locală ζ pentru o vană plană.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coeficientului de debit pentru diverse forme geometrice de orificii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ajutaje.</w:t>
            </w:r>
          </w:p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Recuperarea lucrărilor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încheierea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activităţii</w:t>
            </w:r>
            <w:permEnd w:id="1562724799"/>
            <w:proofErr w:type="spellEnd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00032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80003253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11550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explicaţii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exemple, experimente, calcul de date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interpretare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115506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57252F" w:rsidRPr="0057252F" w:rsidRDefault="00875BC6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87223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Seminar: Pierderi hidraulice longitudinale </w:t>
            </w:r>
            <w:proofErr w:type="spellStart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57252F"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locale.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Calculul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dimensionarea conductelor.</w:t>
            </w:r>
          </w:p>
          <w:p w:rsidR="0057252F" w:rsidRPr="0057252F" w:rsidRDefault="0057252F" w:rsidP="0057252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Curgerea prin orificii </w:t>
            </w: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ajutaje.</w:t>
            </w:r>
          </w:p>
          <w:p w:rsidR="00875BC6" w:rsidRPr="0040372D" w:rsidRDefault="0057252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Maşini</w:t>
            </w:r>
            <w:proofErr w:type="spellEnd"/>
            <w:r w:rsidRPr="0057252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hidraulice</w:t>
            </w:r>
            <w:permEnd w:id="6387223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09211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909211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5531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55319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09752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097522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19389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193892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72069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720692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05472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054729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3238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32387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05454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054545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7985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798544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15680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156803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198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519892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05461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054613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15211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152110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49050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1490504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81069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810698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15626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156261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10727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107276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12446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124468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58622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586224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4943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6494323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870EFA" w:rsidRPr="00870EFA" w:rsidRDefault="00CA7AAF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810307930" w:edGrp="everyone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1.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Anton, L.,E., Baya, Al.,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Mecanica fluidelor,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,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ISBN 973-8391-65-2, Editura Orizonturi Universitare, </w:t>
            </w:r>
            <w:proofErr w:type="spellStart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2.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Resiga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R.,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Mecanica fluidelor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973-8391-72-5,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3.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Stuparu A.,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Hidrodinamică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978-973-638-330-4,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2007.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Anton, L.E. et al.,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Mecanica fluidelor,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Aplicaţii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de calcul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973-638-076-9,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2004.</w:t>
            </w: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CA7AAF" w:rsidRPr="0040372D" w:rsidRDefault="00870EF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5.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Ancuşa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V.,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Culegere de probleme de Mecanica fluidelor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Centrul de multiplicare Universitatea Tehnică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1993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0307930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03006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</w:t>
            </w:r>
            <w:permEnd w:id="1540300653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19671312" w:edGrp="everyone"/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Notă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967131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03429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8034291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50948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66%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509485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221780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Notă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17804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44156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34415636"/>
          </w:p>
        </w:tc>
        <w:tc>
          <w:tcPr>
            <w:tcW w:w="1959" w:type="dxa"/>
            <w:vAlign w:val="center"/>
          </w:tcPr>
          <w:p w:rsidR="0042178D" w:rsidRPr="0040372D" w:rsidRDefault="00870EF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5110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17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51100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680507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Notă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805072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20784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Referate lucrări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8207840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8032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17%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8032186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650593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50593324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67985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679853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95562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9556239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191782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1917829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82949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829493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4338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433801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870EFA" w:rsidRPr="00870EFA" w:rsidRDefault="00893CC2" w:rsidP="00870EF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22163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Cunoaşterea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enunţarea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definiţiilor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bază din domeniul Mecanicii fluidelor</w:t>
            </w:r>
          </w:p>
          <w:p w:rsidR="00C12BE1" w:rsidRPr="0040372D" w:rsidRDefault="00870EFA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Rezolvarea a cel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puţin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unei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calcul 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2216312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12746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1274667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31075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83107563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02" w:rsidRDefault="00167F02">
      <w:r>
        <w:separator/>
      </w:r>
    </w:p>
  </w:endnote>
  <w:endnote w:type="continuationSeparator" w:id="0">
    <w:p w:rsidR="00167F02" w:rsidRDefault="0016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02" w:rsidRDefault="00167F02">
      <w:r>
        <w:separator/>
      </w:r>
    </w:p>
  </w:footnote>
  <w:footnote w:type="continuationSeparator" w:id="0">
    <w:p w:rsidR="00167F02" w:rsidRDefault="00167F02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105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0E15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67F0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5E95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5A3B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52F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259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57A4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0EFA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97BDE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98D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3D4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373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580D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AD92-D963-4171-94D6-EB0CFFC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6822</Characters>
  <Application>Microsoft Office Word</Application>
  <DocSecurity>8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6</cp:revision>
  <cp:lastPrinted>2016-11-02T09:24:00Z</cp:lastPrinted>
  <dcterms:created xsi:type="dcterms:W3CDTF">2019-03-25T12:32:00Z</dcterms:created>
  <dcterms:modified xsi:type="dcterms:W3CDTF">2020-02-16T13:12:00Z</dcterms:modified>
</cp:coreProperties>
</file>